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8E" w:rsidRDefault="00374B8E" w:rsidP="00374B8E">
      <w:pPr>
        <w:jc w:val="center"/>
        <w:rPr>
          <w:rFonts w:ascii="Times New Roman" w:hAnsi="Times New Roman"/>
          <w:b/>
          <w:smallCaps/>
          <w:lang w:val="pt-PT"/>
        </w:rPr>
      </w:pPr>
      <w:r>
        <w:rPr>
          <w:rFonts w:ascii="Times New Roman" w:hAnsi="Times New Roman"/>
          <w:b/>
          <w:smallCaps/>
          <w:lang w:val="pt-PT"/>
        </w:rPr>
        <w:t>O REGIME JURÍDICO INTERNACIONAL DAS LICENÇAS COMPULSÓRIAS</w:t>
      </w:r>
    </w:p>
    <w:p w:rsidR="00374B8E" w:rsidRDefault="00374B8E" w:rsidP="00374B8E">
      <w:pPr>
        <w:rPr>
          <w:rFonts w:ascii="Times New Roman" w:hAnsi="Times New Roman"/>
          <w:b/>
          <w:smallCaps/>
          <w:lang w:val="pt-PT"/>
        </w:rPr>
      </w:pPr>
    </w:p>
    <w:p w:rsidR="00374B8E" w:rsidRDefault="00374B8E" w:rsidP="00374B8E">
      <w:pPr>
        <w:jc w:val="right"/>
        <w:rPr>
          <w:rFonts w:ascii="Times New Roman" w:hAnsi="Times New Roman"/>
          <w:i/>
        </w:rPr>
      </w:pPr>
      <w:r>
        <w:rPr>
          <w:rFonts w:ascii="Times New Roman" w:hAnsi="Times New Roman"/>
          <w:i/>
        </w:rPr>
        <w:t xml:space="preserve">                                                                                          Vitor </w:t>
      </w:r>
      <w:proofErr w:type="spellStart"/>
      <w:r>
        <w:rPr>
          <w:rFonts w:ascii="Times New Roman" w:hAnsi="Times New Roman"/>
          <w:i/>
        </w:rPr>
        <w:t>Palmela</w:t>
      </w:r>
      <w:proofErr w:type="spellEnd"/>
      <w:r>
        <w:rPr>
          <w:rFonts w:ascii="Times New Roman" w:hAnsi="Times New Roman"/>
          <w:i/>
        </w:rPr>
        <w:t xml:space="preserve"> Fidalgo</w:t>
      </w:r>
    </w:p>
    <w:p w:rsidR="00374B8E" w:rsidRDefault="00374B8E" w:rsidP="00374B8E">
      <w:pPr>
        <w:jc w:val="right"/>
        <w:rPr>
          <w:rFonts w:ascii="Times New Roman" w:hAnsi="Times New Roman"/>
          <w:i/>
        </w:rPr>
      </w:pPr>
    </w:p>
    <w:p w:rsidR="00374B8E" w:rsidRPr="00AC5E64" w:rsidRDefault="00374B8E" w:rsidP="00374B8E">
      <w:pPr>
        <w:ind w:left="4536"/>
        <w:jc w:val="both"/>
        <w:rPr>
          <w:rFonts w:ascii="Times New Roman" w:hAnsi="Times New Roman"/>
          <w:i/>
          <w:color w:val="FF0000"/>
        </w:rPr>
      </w:pPr>
      <w:r w:rsidRPr="00462C4A">
        <w:rPr>
          <w:rFonts w:ascii="Times New Roman" w:hAnsi="Times New Roman"/>
          <w:i/>
        </w:rPr>
        <w:t xml:space="preserve">Mestrando na Faculdade de Direito de Lisboa, Encontra-se a investigar a tese na </w:t>
      </w:r>
      <w:proofErr w:type="spellStart"/>
      <w:r w:rsidRPr="00462C4A">
        <w:rPr>
          <w:rFonts w:ascii="Times New Roman" w:hAnsi="Times New Roman"/>
          <w:i/>
        </w:rPr>
        <w:t>Rheinische</w:t>
      </w:r>
      <w:proofErr w:type="spellEnd"/>
      <w:r w:rsidRPr="00462C4A">
        <w:rPr>
          <w:rFonts w:ascii="Times New Roman" w:hAnsi="Times New Roman"/>
          <w:i/>
        </w:rPr>
        <w:t xml:space="preserve"> Friedrich-</w:t>
      </w:r>
      <w:proofErr w:type="spellStart"/>
      <w:r w:rsidRPr="00462C4A">
        <w:rPr>
          <w:rFonts w:ascii="Times New Roman" w:hAnsi="Times New Roman"/>
          <w:i/>
        </w:rPr>
        <w:t>Wilhelms</w:t>
      </w:r>
      <w:proofErr w:type="spellEnd"/>
      <w:r w:rsidRPr="00462C4A">
        <w:rPr>
          <w:rFonts w:ascii="Times New Roman" w:hAnsi="Times New Roman"/>
          <w:i/>
        </w:rPr>
        <w:t xml:space="preserve"> </w:t>
      </w:r>
      <w:proofErr w:type="spellStart"/>
      <w:r w:rsidRPr="00462C4A">
        <w:rPr>
          <w:rFonts w:ascii="Times New Roman" w:hAnsi="Times New Roman"/>
          <w:i/>
        </w:rPr>
        <w:t>Universität</w:t>
      </w:r>
      <w:proofErr w:type="spellEnd"/>
      <w:r w:rsidRPr="00462C4A">
        <w:rPr>
          <w:rFonts w:ascii="Times New Roman" w:hAnsi="Times New Roman"/>
          <w:i/>
        </w:rPr>
        <w:t xml:space="preserve"> Bonn.</w:t>
      </w:r>
    </w:p>
    <w:p w:rsidR="00374B8E" w:rsidRDefault="00374B8E" w:rsidP="00374B8E">
      <w:pPr>
        <w:rPr>
          <w:rFonts w:ascii="Times New Roman" w:hAnsi="Times New Roman"/>
          <w:b/>
          <w:smallCaps/>
          <w:color w:val="FF0000"/>
          <w:lang w:val="pt-PT"/>
        </w:rPr>
      </w:pPr>
    </w:p>
    <w:p w:rsidR="00374B8E" w:rsidRPr="00835AB3" w:rsidRDefault="00374B8E" w:rsidP="00374B8E">
      <w:pPr>
        <w:spacing w:before="120" w:after="120"/>
        <w:jc w:val="both"/>
        <w:rPr>
          <w:rFonts w:ascii="Times New Roman" w:hAnsi="Times New Roman"/>
          <w:i/>
          <w:sz w:val="22"/>
          <w:szCs w:val="22"/>
        </w:rPr>
      </w:pPr>
      <w:r w:rsidRPr="00835AB3">
        <w:rPr>
          <w:rFonts w:ascii="Times New Roman" w:hAnsi="Times New Roman"/>
          <w:b/>
          <w:sz w:val="22"/>
          <w:szCs w:val="22"/>
        </w:rPr>
        <w:t>RESUMO:</w:t>
      </w:r>
      <w:r w:rsidRPr="00835AB3">
        <w:rPr>
          <w:rFonts w:ascii="Times New Roman" w:hAnsi="Times New Roman"/>
          <w:i/>
          <w:sz w:val="22"/>
          <w:szCs w:val="22"/>
        </w:rPr>
        <w:t xml:space="preserve"> Pretende-se com este estudo, abordar um instituto essencial do Direito de Propriedade Industrial: As Licenças compulsórias. E afirma-se que este mecanismo é essencial porque é ele que permite o equilíbrio entre o titular do direito de propriedade industrial e o interesse público, que sempre paira no Direito em Geral, com ainda mais veemência no Direito de Propriedade industrial. Quanto ao estudo em si, procura-se abordar os principais pontos do regime jurídico internacional das licenças compulsórias. É este que impõe padrões mínimos nesta matéria aos Estados Membros da Organização Mundial do Comércio, sendo que, naturalmente, as suas ordens jurídicas têm que se moldar ao estipulado na ordem jurídica internacional. Os textos abordados, primordialmente, serão dois: a Convenção da União de Paris (CUP) e o Acordo Relativo aos Aspectos Relacionados com a Propriedade Intelectual Relacionados com o Comércio (</w:t>
      </w:r>
      <w:proofErr w:type="spellStart"/>
      <w:r w:rsidRPr="00835AB3">
        <w:rPr>
          <w:rFonts w:ascii="Times New Roman" w:hAnsi="Times New Roman"/>
          <w:i/>
          <w:sz w:val="22"/>
          <w:szCs w:val="22"/>
        </w:rPr>
        <w:t>Trips</w:t>
      </w:r>
      <w:proofErr w:type="spellEnd"/>
      <w:r w:rsidRPr="00835AB3">
        <w:rPr>
          <w:rFonts w:ascii="Times New Roman" w:hAnsi="Times New Roman"/>
          <w:i/>
          <w:sz w:val="22"/>
          <w:szCs w:val="22"/>
        </w:rPr>
        <w:t>). Assim, entra-se a fundo nos fundamentos e nas condições que devem estar adstritos a este tipo de licenças, dando algumas luzes sobre alguns pontos que suscitam ainda muitas dúvidas.</w:t>
      </w:r>
    </w:p>
    <w:p w:rsidR="00374B8E" w:rsidRPr="00835AB3" w:rsidRDefault="00374B8E" w:rsidP="00374B8E">
      <w:pPr>
        <w:spacing w:before="120" w:after="120"/>
        <w:jc w:val="both"/>
        <w:rPr>
          <w:rFonts w:ascii="Times New Roman" w:hAnsi="Times New Roman"/>
          <w:i/>
          <w:sz w:val="22"/>
          <w:szCs w:val="22"/>
        </w:rPr>
      </w:pPr>
      <w:r w:rsidRPr="00835AB3">
        <w:rPr>
          <w:rFonts w:ascii="Times New Roman" w:hAnsi="Times New Roman"/>
          <w:b/>
          <w:sz w:val="22"/>
          <w:szCs w:val="22"/>
        </w:rPr>
        <w:t>PALAVRAS-CHAVE</w:t>
      </w:r>
      <w:r w:rsidRPr="00835AB3">
        <w:rPr>
          <w:rFonts w:ascii="Times New Roman" w:hAnsi="Times New Roman"/>
          <w:i/>
          <w:sz w:val="22"/>
          <w:szCs w:val="22"/>
        </w:rPr>
        <w:t xml:space="preserve">: Licenças compulsórias; CUP; </w:t>
      </w:r>
      <w:proofErr w:type="spellStart"/>
      <w:r w:rsidRPr="00835AB3">
        <w:rPr>
          <w:rFonts w:ascii="Times New Roman" w:hAnsi="Times New Roman"/>
          <w:i/>
          <w:sz w:val="22"/>
          <w:szCs w:val="22"/>
        </w:rPr>
        <w:t>Trips</w:t>
      </w:r>
      <w:proofErr w:type="spellEnd"/>
      <w:r w:rsidRPr="00835AB3">
        <w:rPr>
          <w:rFonts w:ascii="Times New Roman" w:hAnsi="Times New Roman"/>
          <w:i/>
          <w:sz w:val="22"/>
          <w:szCs w:val="22"/>
        </w:rPr>
        <w:t>; patentes; propriedade industrial.</w:t>
      </w:r>
    </w:p>
    <w:p w:rsidR="00374B8E" w:rsidRPr="00835AB3" w:rsidRDefault="00374B8E" w:rsidP="00374B8E">
      <w:pPr>
        <w:spacing w:before="120" w:after="120"/>
        <w:jc w:val="both"/>
        <w:rPr>
          <w:rFonts w:ascii="Times New Roman" w:hAnsi="Times New Roman"/>
          <w:i/>
          <w:sz w:val="22"/>
          <w:szCs w:val="22"/>
          <w:lang w:val="en-US"/>
        </w:rPr>
      </w:pPr>
      <w:r w:rsidRPr="00835AB3">
        <w:rPr>
          <w:rFonts w:ascii="Times New Roman" w:hAnsi="Times New Roman"/>
          <w:b/>
          <w:sz w:val="22"/>
          <w:szCs w:val="22"/>
          <w:lang w:val="en-US"/>
        </w:rPr>
        <w:t>ABSTRACT:</w:t>
      </w:r>
      <w:r w:rsidRPr="00835AB3">
        <w:rPr>
          <w:rFonts w:ascii="Times New Roman" w:hAnsi="Times New Roman"/>
          <w:i/>
          <w:sz w:val="22"/>
          <w:szCs w:val="22"/>
          <w:lang w:val="en-US"/>
        </w:rPr>
        <w:t xml:space="preserve"> We intend with this study address a crucial Institute of Industrial Property Law: Compulsory Licensing. ?said that this mechanism is essential because it is the balance between the right of patent holder and the public interesting, which always hangs in the law in general, even more strongly in Industrial Property Law.  About the study per </w:t>
      </w:r>
      <w:proofErr w:type="spellStart"/>
      <w:r w:rsidRPr="00835AB3">
        <w:rPr>
          <w:rFonts w:ascii="Times New Roman" w:hAnsi="Times New Roman"/>
          <w:i/>
          <w:sz w:val="22"/>
          <w:szCs w:val="22"/>
          <w:lang w:val="en-US"/>
        </w:rPr>
        <w:t>si</w:t>
      </w:r>
      <w:proofErr w:type="spellEnd"/>
      <w:proofErr w:type="gramStart"/>
      <w:r w:rsidRPr="00835AB3">
        <w:rPr>
          <w:rFonts w:ascii="Times New Roman" w:hAnsi="Times New Roman"/>
          <w:i/>
          <w:sz w:val="22"/>
          <w:szCs w:val="22"/>
          <w:lang w:val="en-US"/>
        </w:rPr>
        <w:t>, ?</w:t>
      </w:r>
      <w:proofErr w:type="gramEnd"/>
      <w:r w:rsidRPr="00835AB3">
        <w:rPr>
          <w:rFonts w:ascii="Times New Roman" w:hAnsi="Times New Roman"/>
          <w:i/>
          <w:sz w:val="22"/>
          <w:szCs w:val="22"/>
          <w:lang w:val="en-US"/>
        </w:rPr>
        <w:t>´</w:t>
      </w:r>
      <w:proofErr w:type="spellStart"/>
      <w:r w:rsidRPr="00835AB3">
        <w:rPr>
          <w:rFonts w:ascii="Times New Roman" w:hAnsi="Times New Roman"/>
          <w:i/>
          <w:sz w:val="22"/>
          <w:szCs w:val="22"/>
          <w:lang w:val="en-US"/>
        </w:rPr>
        <w:t>ll</w:t>
      </w:r>
      <w:proofErr w:type="spellEnd"/>
      <w:r w:rsidRPr="00835AB3">
        <w:rPr>
          <w:rFonts w:ascii="Times New Roman" w:hAnsi="Times New Roman"/>
          <w:i/>
          <w:sz w:val="22"/>
          <w:szCs w:val="22"/>
          <w:lang w:val="en-US"/>
        </w:rPr>
        <w:t xml:space="preserve"> seek to address the main points of the international legal frame of compulsory licensing. It is </w:t>
      </w:r>
      <w:proofErr w:type="gramStart"/>
      <w:r w:rsidRPr="00835AB3">
        <w:rPr>
          <w:rFonts w:ascii="Times New Roman" w:hAnsi="Times New Roman"/>
          <w:i/>
          <w:sz w:val="22"/>
          <w:szCs w:val="22"/>
          <w:lang w:val="en-US"/>
        </w:rPr>
        <w:t>this which</w:t>
      </w:r>
      <w:proofErr w:type="gramEnd"/>
      <w:r w:rsidRPr="00835AB3">
        <w:rPr>
          <w:rFonts w:ascii="Times New Roman" w:hAnsi="Times New Roman"/>
          <w:i/>
          <w:sz w:val="22"/>
          <w:szCs w:val="22"/>
          <w:lang w:val="en-US"/>
        </w:rPr>
        <w:t xml:space="preserve"> imposes minimum standards on this matter to the members of the World Trade Organization, and, of course, their legal frames have to basis on that international legal order. The international legal frames discussed are two: Paris Convention (CUP) and the Agreement on Aspects Related to Intellectual Property Rights (Trips). Thus, we get deeper into the grounds and conditions that </w:t>
      </w:r>
      <w:proofErr w:type="gramStart"/>
      <w:r w:rsidRPr="00835AB3">
        <w:rPr>
          <w:rFonts w:ascii="Times New Roman" w:hAnsi="Times New Roman"/>
          <w:i/>
          <w:sz w:val="22"/>
          <w:szCs w:val="22"/>
          <w:lang w:val="en-US"/>
        </w:rPr>
        <w:t>must be assigned</w:t>
      </w:r>
      <w:proofErr w:type="gramEnd"/>
      <w:r w:rsidRPr="00835AB3">
        <w:rPr>
          <w:rFonts w:ascii="Times New Roman" w:hAnsi="Times New Roman"/>
          <w:i/>
          <w:sz w:val="22"/>
          <w:szCs w:val="22"/>
          <w:lang w:val="en-US"/>
        </w:rPr>
        <w:t xml:space="preserve"> this type of license giving light on some points that raise doubts.</w:t>
      </w:r>
    </w:p>
    <w:p w:rsidR="00374B8E" w:rsidRDefault="00374B8E" w:rsidP="00374B8E">
      <w:pPr>
        <w:spacing w:before="120" w:after="120"/>
        <w:jc w:val="both"/>
        <w:rPr>
          <w:rFonts w:ascii="Times New Roman" w:hAnsi="Times New Roman"/>
          <w:i/>
          <w:lang w:val="en-US"/>
        </w:rPr>
      </w:pPr>
      <w:proofErr w:type="gramStart"/>
      <w:r>
        <w:rPr>
          <w:rFonts w:ascii="Times New Roman" w:hAnsi="Times New Roman"/>
          <w:b/>
          <w:lang w:val="en-US"/>
        </w:rPr>
        <w:t>KEY-WORDS</w:t>
      </w:r>
      <w:proofErr w:type="gramEnd"/>
      <w:r>
        <w:rPr>
          <w:rFonts w:ascii="Times New Roman" w:hAnsi="Times New Roman"/>
          <w:i/>
          <w:lang w:val="en-US"/>
        </w:rPr>
        <w:t>: Compulsory licensing; CUP; Trips; patents; Industrial property.</w:t>
      </w:r>
    </w:p>
    <w:p w:rsidR="00374B8E" w:rsidRPr="00D868E2" w:rsidRDefault="00374B8E" w:rsidP="00374B8E">
      <w:pPr>
        <w:pStyle w:val="Ttulo3"/>
        <w:spacing w:before="120" w:after="120"/>
        <w:jc w:val="center"/>
        <w:rPr>
          <w:rFonts w:ascii="Times New Roman" w:hAnsi="Times New Roman"/>
          <w:sz w:val="24"/>
          <w:szCs w:val="24"/>
        </w:rPr>
      </w:pPr>
      <w:r>
        <w:rPr>
          <w:rFonts w:ascii="Times New Roman" w:hAnsi="Times New Roman"/>
          <w:sz w:val="24"/>
          <w:szCs w:val="24"/>
        </w:rPr>
        <w:t>INTRODUÇÃO</w:t>
      </w:r>
    </w:p>
    <w:p w:rsidR="00374B8E" w:rsidRDefault="00374B8E" w:rsidP="00374B8E">
      <w:pPr>
        <w:spacing w:before="120" w:after="120"/>
        <w:ind w:right="44" w:firstLine="708"/>
        <w:jc w:val="both"/>
        <w:rPr>
          <w:rFonts w:ascii="Times New Roman" w:hAnsi="Times New Roman"/>
        </w:rPr>
      </w:pPr>
      <w:r>
        <w:rPr>
          <w:rFonts w:ascii="Times New Roman" w:hAnsi="Times New Roman"/>
        </w:rPr>
        <w:t>De modo a termos uma primeira aproximação do que são licenças compulsórias, convém dar um conceito introdutório. Contudo, alertamos que pretendemos dar apenas um conceito base amplo, que consiga ser operativo, de modo a entrarmos a fundo nas restantes questões. São vários os conceitos dados pela doutrina</w:t>
      </w:r>
      <w:r>
        <w:rPr>
          <w:rFonts w:ascii="Times New Roman" w:hAnsi="Times New Roman"/>
          <w:vertAlign w:val="superscript"/>
        </w:rPr>
        <w:footnoteReference w:id="1"/>
      </w:r>
      <w:r>
        <w:rPr>
          <w:rFonts w:ascii="Times New Roman" w:hAnsi="Times New Roman"/>
        </w:rPr>
        <w:t xml:space="preserve">, quase todos eles elucidativos. Contudo, nesta primeira fase do nosso estudo, preferimos o conceito simples dado por </w:t>
      </w:r>
      <w:proofErr w:type="spellStart"/>
      <w:r>
        <w:rPr>
          <w:rFonts w:ascii="Times New Roman" w:hAnsi="Times New Roman"/>
        </w:rPr>
        <w:t>Reichman</w:t>
      </w:r>
      <w:proofErr w:type="spellEnd"/>
      <w:r>
        <w:rPr>
          <w:rFonts w:ascii="Times New Roman" w:hAnsi="Times New Roman"/>
        </w:rPr>
        <w:t xml:space="preserve"> (2002), que afirma que a licença compulsória “refere-se à prática de um governo em autorizar a si próprio ou a terceiros o uso do </w:t>
      </w:r>
      <w:proofErr w:type="spellStart"/>
      <w:r>
        <w:rPr>
          <w:rFonts w:ascii="Times New Roman" w:hAnsi="Times New Roman"/>
        </w:rPr>
        <w:t>objecto</w:t>
      </w:r>
      <w:proofErr w:type="spellEnd"/>
      <w:r>
        <w:rPr>
          <w:rFonts w:ascii="Times New Roman" w:hAnsi="Times New Roman"/>
        </w:rPr>
        <w:t xml:space="preserve"> da patente, sem autorização do detentor do direito de </w:t>
      </w:r>
      <w:r>
        <w:rPr>
          <w:rFonts w:ascii="Times New Roman" w:hAnsi="Times New Roman"/>
        </w:rPr>
        <w:lastRenderedPageBreak/>
        <w:t xml:space="preserve">patente, por razões de políticas públicas.” Este conceito, apesar de não ser perfeito, permite verificar as várias facetas das licenças compulsórias. Desde logo, o fato de indicar que estas consistem numa autorização do governo. Obviamente aqui o </w:t>
      </w:r>
      <w:r>
        <w:rPr>
          <w:rFonts w:ascii="Times New Roman" w:hAnsi="Times New Roman"/>
          <w:i/>
        </w:rPr>
        <w:t>governo</w:t>
      </w:r>
      <w:r>
        <w:rPr>
          <w:rFonts w:ascii="Times New Roman" w:hAnsi="Times New Roman"/>
        </w:rPr>
        <w:t xml:space="preserve"> tem de ser olhado em termos amplos, pois, como iremos ver, não só o governo nacional pode autorizar uma licença compulsória, abarcando assim, a administração pública em si, pois, outras entidades administrativas também o podem fazer. </w:t>
      </w:r>
    </w:p>
    <w:p w:rsidR="00374B8E" w:rsidRDefault="00374B8E" w:rsidP="00374B8E">
      <w:pPr>
        <w:spacing w:before="120" w:after="120"/>
        <w:ind w:right="44" w:firstLine="708"/>
        <w:jc w:val="both"/>
        <w:rPr>
          <w:rFonts w:ascii="Times New Roman" w:hAnsi="Times New Roman"/>
        </w:rPr>
      </w:pPr>
      <w:r>
        <w:rPr>
          <w:rFonts w:ascii="Times New Roman" w:hAnsi="Times New Roman"/>
        </w:rPr>
        <w:t>Este conceito reflete ainda outra dimensão, que é o fato de a licença ser em benefício do próprio governo ou ser a favor de terceiros, que é também uma dimensão a ter em conta.</w:t>
      </w:r>
    </w:p>
    <w:p w:rsidR="00374B8E" w:rsidRDefault="00374B8E" w:rsidP="00374B8E">
      <w:pPr>
        <w:spacing w:before="120" w:after="120"/>
        <w:ind w:right="44" w:firstLine="708"/>
        <w:jc w:val="both"/>
        <w:rPr>
          <w:rFonts w:ascii="Times New Roman" w:hAnsi="Times New Roman"/>
        </w:rPr>
      </w:pPr>
      <w:r>
        <w:rPr>
          <w:rFonts w:ascii="Times New Roman" w:hAnsi="Times New Roman"/>
        </w:rPr>
        <w:t xml:space="preserve">Por último, foca o aspecto mais importante, que é a característica de esta licença ser concedida sem o acordo do detentor da patente e por razões de interesse público. O termo “políticas públicas” </w:t>
      </w:r>
      <w:proofErr w:type="spellStart"/>
      <w:r>
        <w:rPr>
          <w:rFonts w:ascii="Times New Roman" w:hAnsi="Times New Roman"/>
        </w:rPr>
        <w:t>concerteza</w:t>
      </w:r>
      <w:proofErr w:type="spellEnd"/>
      <w:r>
        <w:rPr>
          <w:rFonts w:ascii="Times New Roman" w:hAnsi="Times New Roman"/>
        </w:rPr>
        <w:t xml:space="preserve"> não será o mais indicado. De qualquer forma, em nossa opinião, direta ou indiretamente, todos os fundamentos que dão lugar a licenças compulsórias têm motivos políticos, seja olhando para a licença compulsória como sanção, ou concebendo-a como um instrumento para o desenvolvimento da saúde pública ou da economia nacional.</w:t>
      </w:r>
    </w:p>
    <w:p w:rsidR="00374B8E" w:rsidRPr="00462C4A" w:rsidRDefault="00374B8E" w:rsidP="00374B8E">
      <w:pPr>
        <w:spacing w:before="120" w:after="120"/>
        <w:ind w:right="44"/>
        <w:jc w:val="both"/>
        <w:rPr>
          <w:rFonts w:ascii="Times New Roman" w:hAnsi="Times New Roman"/>
          <w:b/>
        </w:rPr>
      </w:pPr>
      <w:r w:rsidRPr="00462C4A">
        <w:rPr>
          <w:rFonts w:ascii="Times New Roman" w:hAnsi="Times New Roman"/>
        </w:rPr>
        <w:t xml:space="preserve">1 </w:t>
      </w:r>
      <w:r w:rsidRPr="00462C4A">
        <w:rPr>
          <w:rFonts w:ascii="Times New Roman" w:hAnsi="Times New Roman"/>
          <w:b/>
        </w:rPr>
        <w:t>DIREITOS DE PROPRIEDADE INDUSTRIAL QUE PODEM DAR LUGAR A LICENÇAS COMPULSÓRIAS</w:t>
      </w:r>
    </w:p>
    <w:p w:rsidR="00374B8E" w:rsidRPr="00462C4A" w:rsidRDefault="00374B8E" w:rsidP="00374B8E">
      <w:pPr>
        <w:spacing w:before="120" w:after="120"/>
        <w:ind w:right="44" w:firstLine="708"/>
        <w:jc w:val="both"/>
        <w:rPr>
          <w:rFonts w:ascii="Times New Roman" w:hAnsi="Times New Roman"/>
        </w:rPr>
      </w:pPr>
      <w:r w:rsidRPr="00462C4A">
        <w:rPr>
          <w:rFonts w:ascii="Times New Roman" w:hAnsi="Times New Roman"/>
        </w:rPr>
        <w:t xml:space="preserve">Apesar da relevância, indiscutível que as Licenças Compulsórias têm em matéria de patentes, existem outros direitos de propriedade industrial que podem ser sujeitos a este tipo de licenças. </w:t>
      </w:r>
    </w:p>
    <w:p w:rsidR="00374B8E" w:rsidRDefault="00374B8E" w:rsidP="00374B8E">
      <w:pPr>
        <w:pStyle w:val="Textodenotaderodap"/>
        <w:spacing w:before="120" w:after="120"/>
        <w:ind w:firstLine="708"/>
        <w:jc w:val="both"/>
        <w:rPr>
          <w:sz w:val="24"/>
        </w:rPr>
      </w:pPr>
      <w:r w:rsidRPr="00462C4A">
        <w:rPr>
          <w:rFonts w:ascii="Times New Roman" w:hAnsi="Times New Roman"/>
          <w:sz w:val="24"/>
        </w:rPr>
        <w:t>Na realidade, as patentes e os modelos de utilidade começaram por ser os únicos direitos de propriedade industrial em que se podiam outorgar este tipo de licenças. (</w:t>
      </w:r>
      <w:r w:rsidRPr="00462C4A">
        <w:rPr>
          <w:sz w:val="24"/>
          <w:lang w:eastAsia="pt-PT"/>
        </w:rPr>
        <w:t>MARQUES</w:t>
      </w:r>
      <w:r w:rsidRPr="00462C4A">
        <w:rPr>
          <w:sz w:val="24"/>
        </w:rPr>
        <w:t xml:space="preserve">, 2008, p. 203). </w:t>
      </w:r>
      <w:r w:rsidRPr="00462C4A">
        <w:rPr>
          <w:rFonts w:ascii="Times New Roman" w:hAnsi="Times New Roman"/>
          <w:sz w:val="24"/>
        </w:rPr>
        <w:t>Na Convenção da União de Paris para a Proteção da Propriedade Industrial, no seu art.5ºA, nº</w:t>
      </w:r>
      <w:r>
        <w:rPr>
          <w:rFonts w:ascii="Times New Roman" w:hAnsi="Times New Roman"/>
          <w:sz w:val="24"/>
        </w:rPr>
        <w:t xml:space="preserve"> 2, a partir da conferência de Haia de 1925, passou a prever-se que as patentes podiam ser objeto de licenças compulsórias, se da utilização das mesmas resultasse abuso por parte do titular, referindo como exemplo meramente indicativo, a sua falta de exploração. Por fim, surgiu no nº 5 do mesmo artigo, estipulando que as disposições dos números antecedentes – referentes às licenças compulsórias - aplicar-se-iam aos modelos de utilidade.</w:t>
      </w:r>
      <w:r>
        <w:rPr>
          <w:rFonts w:ascii="Times New Roman" w:hAnsi="Times New Roman"/>
          <w:sz w:val="24"/>
        </w:rPr>
        <w:tab/>
      </w:r>
    </w:p>
    <w:p w:rsidR="00374B8E" w:rsidRDefault="00374B8E" w:rsidP="00374B8E">
      <w:pPr>
        <w:spacing w:before="120" w:after="120"/>
        <w:ind w:right="44" w:firstLine="708"/>
        <w:jc w:val="both"/>
        <w:rPr>
          <w:rFonts w:ascii="Times New Roman" w:hAnsi="Times New Roman"/>
        </w:rPr>
      </w:pPr>
      <w:r>
        <w:rPr>
          <w:rFonts w:ascii="Times New Roman" w:hAnsi="Times New Roman"/>
        </w:rPr>
        <w:t xml:space="preserve">A título de exemplo, na ordem jurídica portuguesa, a prática da Convenção da União de Paris para a Proteção da Propriedade Industrial foi seguida, estabelecendo o Código da Propriedade Industrial 1940 no seu art. 30, a </w:t>
      </w:r>
      <w:proofErr w:type="spellStart"/>
      <w:r>
        <w:rPr>
          <w:rFonts w:ascii="Times New Roman" w:hAnsi="Times New Roman"/>
        </w:rPr>
        <w:t>estatuição</w:t>
      </w:r>
      <w:proofErr w:type="spellEnd"/>
      <w:r>
        <w:rPr>
          <w:rFonts w:ascii="Times New Roman" w:hAnsi="Times New Roman"/>
        </w:rPr>
        <w:t xml:space="preserve"> de uma Licença Compulsória em matéria de patentes, para o caso de este direito de propriedade industrial ser exercido de forma abusiva. </w:t>
      </w:r>
    </w:p>
    <w:p w:rsidR="00374B8E" w:rsidRDefault="00374B8E" w:rsidP="00374B8E">
      <w:pPr>
        <w:spacing w:before="120" w:after="120"/>
        <w:ind w:right="44" w:firstLine="708"/>
        <w:jc w:val="both"/>
        <w:rPr>
          <w:rFonts w:ascii="Times New Roman" w:hAnsi="Times New Roman"/>
        </w:rPr>
      </w:pPr>
      <w:r w:rsidRPr="00462C4A">
        <w:rPr>
          <w:rFonts w:ascii="Times New Roman" w:hAnsi="Times New Roman"/>
        </w:rPr>
        <w:t xml:space="preserve">No nosso CPI atual a situação modificou-se. Outras invenções poderão ser sujeitas a Licenças Compulsórias. É o caso dos produtos semicondutores. De acordo com o art.169, estão sujeitos ao regime das Licenças Compulsórias que é previsto para as patentes, apesar de ser apenas na sua modalidade de </w:t>
      </w:r>
      <w:r w:rsidRPr="00462C4A">
        <w:rPr>
          <w:rFonts w:ascii="Times New Roman" w:hAnsi="Times New Roman"/>
          <w:i/>
        </w:rPr>
        <w:t>uso público</w:t>
      </w:r>
      <w:r>
        <w:rPr>
          <w:rFonts w:ascii="Times New Roman" w:hAnsi="Times New Roman"/>
          <w:i/>
        </w:rPr>
        <w:t xml:space="preserve"> não comercial</w:t>
      </w:r>
      <w:r>
        <w:rPr>
          <w:rFonts w:ascii="Times New Roman" w:hAnsi="Times New Roman"/>
        </w:rPr>
        <w:t xml:space="preserve">. Este </w:t>
      </w:r>
      <w:r>
        <w:rPr>
          <w:rFonts w:ascii="Times New Roman" w:hAnsi="Times New Roman"/>
          <w:i/>
        </w:rPr>
        <w:t>uso público não comercial</w:t>
      </w:r>
      <w:r>
        <w:rPr>
          <w:rFonts w:ascii="Times New Roman" w:hAnsi="Times New Roman"/>
        </w:rPr>
        <w:t xml:space="preserve"> não consiste senão numa modalidade deste tipo de licença. Apesar de </w:t>
      </w:r>
      <w:proofErr w:type="spellStart"/>
      <w:r>
        <w:rPr>
          <w:rFonts w:ascii="Times New Roman" w:hAnsi="Times New Roman"/>
        </w:rPr>
        <w:t>Musungu</w:t>
      </w:r>
      <w:proofErr w:type="spellEnd"/>
      <w:r>
        <w:rPr>
          <w:rFonts w:ascii="Times New Roman" w:hAnsi="Times New Roman"/>
        </w:rPr>
        <w:t xml:space="preserve"> (2006, p. 35), </w:t>
      </w:r>
      <w:proofErr w:type="spellStart"/>
      <w:r>
        <w:rPr>
          <w:rFonts w:ascii="Times New Roman" w:hAnsi="Times New Roman"/>
        </w:rPr>
        <w:t>Taubman</w:t>
      </w:r>
      <w:proofErr w:type="spellEnd"/>
      <w:r>
        <w:rPr>
          <w:rFonts w:ascii="Times New Roman" w:hAnsi="Times New Roman"/>
        </w:rPr>
        <w:t xml:space="preserve"> (2008, 927), na senda da epígrafe do art. 31 do Acordo </w:t>
      </w:r>
      <w:proofErr w:type="spellStart"/>
      <w:r>
        <w:rPr>
          <w:rFonts w:ascii="Times New Roman" w:hAnsi="Times New Roman"/>
          <w:i/>
        </w:rPr>
        <w:t>Trips</w:t>
      </w:r>
      <w:proofErr w:type="spellEnd"/>
      <w:r>
        <w:rPr>
          <w:rFonts w:ascii="Times New Roman" w:hAnsi="Times New Roman"/>
        </w:rPr>
        <w:t xml:space="preserve">, referirem que este consiste numa outra utilização sem consentimento do titular, </w:t>
      </w:r>
      <w:proofErr w:type="spellStart"/>
      <w:r>
        <w:rPr>
          <w:rFonts w:ascii="Times New Roman" w:hAnsi="Times New Roman"/>
        </w:rPr>
        <w:t>tal</w:t>
      </w:r>
      <w:proofErr w:type="spellEnd"/>
      <w:r>
        <w:rPr>
          <w:rFonts w:ascii="Times New Roman" w:hAnsi="Times New Roman"/>
        </w:rPr>
        <w:t xml:space="preserve"> não corresponde à verdade. Esta confusão surge porque nos países anglo-saxônicos, está prevista esta modalidade de licença compulsória para </w:t>
      </w:r>
      <w:r>
        <w:rPr>
          <w:rFonts w:ascii="Times New Roman" w:hAnsi="Times New Roman"/>
          <w:i/>
        </w:rPr>
        <w:t>uso governamental</w:t>
      </w:r>
      <w:r>
        <w:rPr>
          <w:rFonts w:ascii="Times New Roman" w:hAnsi="Times New Roman"/>
        </w:rPr>
        <w:t xml:space="preserve">. Contudo, </w:t>
      </w:r>
      <w:proofErr w:type="spellStart"/>
      <w:r>
        <w:rPr>
          <w:rFonts w:ascii="Times New Roman" w:hAnsi="Times New Roman"/>
        </w:rPr>
        <w:t>esta</w:t>
      </w:r>
      <w:proofErr w:type="spellEnd"/>
      <w:r>
        <w:rPr>
          <w:rFonts w:ascii="Times New Roman" w:hAnsi="Times New Roman"/>
        </w:rPr>
        <w:t xml:space="preserve"> consiste numa </w:t>
      </w:r>
      <w:proofErr w:type="spellStart"/>
      <w:r>
        <w:rPr>
          <w:rFonts w:ascii="Times New Roman" w:hAnsi="Times New Roman"/>
        </w:rPr>
        <w:t>submodalidade</w:t>
      </w:r>
      <w:proofErr w:type="spellEnd"/>
      <w:r>
        <w:rPr>
          <w:rFonts w:ascii="Times New Roman" w:hAnsi="Times New Roman"/>
        </w:rPr>
        <w:t xml:space="preserve">, da modalidade de licença compulsória para </w:t>
      </w:r>
      <w:r>
        <w:rPr>
          <w:rFonts w:ascii="Times New Roman" w:hAnsi="Times New Roman"/>
          <w:i/>
        </w:rPr>
        <w:t>uso público não comercial</w:t>
      </w:r>
      <w:r>
        <w:rPr>
          <w:rFonts w:ascii="Times New Roman" w:hAnsi="Times New Roman"/>
        </w:rPr>
        <w:t xml:space="preserve">, como é a </w:t>
      </w:r>
      <w:r>
        <w:rPr>
          <w:rFonts w:ascii="Times New Roman" w:hAnsi="Times New Roman"/>
          <w:i/>
        </w:rPr>
        <w:t>Crown Use</w:t>
      </w:r>
      <w:r>
        <w:rPr>
          <w:rFonts w:ascii="Times New Roman" w:hAnsi="Times New Roman"/>
        </w:rPr>
        <w:t xml:space="preserve"> prevista na </w:t>
      </w:r>
      <w:r>
        <w:rPr>
          <w:rFonts w:ascii="Times New Roman" w:hAnsi="Times New Roman"/>
          <w:i/>
        </w:rPr>
        <w:t xml:space="preserve">UK </w:t>
      </w:r>
      <w:proofErr w:type="spellStart"/>
      <w:r>
        <w:rPr>
          <w:rFonts w:ascii="Times New Roman" w:hAnsi="Times New Roman"/>
          <w:i/>
        </w:rPr>
        <w:t>patents</w:t>
      </w:r>
      <w:proofErr w:type="spellEnd"/>
      <w:r>
        <w:rPr>
          <w:rFonts w:ascii="Times New Roman" w:hAnsi="Times New Roman"/>
          <w:i/>
        </w:rPr>
        <w:t xml:space="preserve"> </w:t>
      </w:r>
      <w:proofErr w:type="spellStart"/>
      <w:r>
        <w:rPr>
          <w:rFonts w:ascii="Times New Roman" w:hAnsi="Times New Roman"/>
          <w:i/>
        </w:rPr>
        <w:t>Act</w:t>
      </w:r>
      <w:proofErr w:type="spellEnd"/>
      <w:r>
        <w:rPr>
          <w:rFonts w:ascii="Times New Roman" w:hAnsi="Times New Roman"/>
        </w:rPr>
        <w:t xml:space="preserve">. Em nossa opinião, a grande diferença desta modalidade para as outras modalidades de licenças compulsórias consiste precisamente no seu propósito. Ao passo que as modalidades já mencionadas podem ter diversos objetivos, incluindo características comerciais de obtenção do lucro, esta modalidade, como o seu próprio nome indica, só pode cobrir casos com fins públicos e não comerciais, ou seja, que não têm como objetivo a obtenção </w:t>
      </w:r>
      <w:r>
        <w:rPr>
          <w:rFonts w:ascii="Times New Roman" w:hAnsi="Times New Roman"/>
        </w:rPr>
        <w:lastRenderedPageBreak/>
        <w:t>do lucro. O que está aqui em causa é a prevalência ou a preponderância do interesse público no uso não comercial da invenção.</w:t>
      </w:r>
    </w:p>
    <w:p w:rsidR="00374B8E" w:rsidRDefault="00374B8E" w:rsidP="00374B8E">
      <w:pPr>
        <w:spacing w:before="120" w:after="120"/>
        <w:ind w:right="44" w:firstLine="708"/>
        <w:jc w:val="both"/>
        <w:rPr>
          <w:rFonts w:ascii="Times New Roman" w:hAnsi="Times New Roman"/>
          <w:bCs/>
        </w:rPr>
      </w:pPr>
      <w:r>
        <w:rPr>
          <w:rFonts w:ascii="Times New Roman" w:hAnsi="Times New Roman"/>
        </w:rPr>
        <w:t xml:space="preserve">Por último, para completarmos o nosso raciocínio, basta-nos referir que a competência para a concessão de todas estas modalidades de licenças compulsórias é do Instituto Nacional de Propriedade Industrial, a não ser que o fundamento seja baseado no interesse público, em que a competência pertence ao Governo </w:t>
      </w:r>
      <w:r w:rsidRPr="00462C4A">
        <w:rPr>
          <w:rFonts w:ascii="Times New Roman" w:hAnsi="Times New Roman"/>
        </w:rPr>
        <w:t>(Cf.</w:t>
      </w:r>
      <w:r>
        <w:rPr>
          <w:rFonts w:ascii="Times New Roman" w:hAnsi="Times New Roman"/>
        </w:rPr>
        <w:t xml:space="preserve"> art. 110, nº 4 do Código de Propriedade Industrial de 2003). </w:t>
      </w:r>
    </w:p>
    <w:p w:rsidR="00374B8E" w:rsidRDefault="00374B8E" w:rsidP="00374B8E">
      <w:pPr>
        <w:spacing w:before="120" w:after="120"/>
        <w:ind w:right="44" w:firstLine="708"/>
        <w:jc w:val="both"/>
        <w:rPr>
          <w:rFonts w:ascii="Times New Roman" w:hAnsi="Times New Roman"/>
        </w:rPr>
      </w:pPr>
      <w:r>
        <w:rPr>
          <w:rFonts w:ascii="Times New Roman" w:hAnsi="Times New Roman"/>
        </w:rPr>
        <w:t>Mas não ficamos por aqui. No direito português, os direitos de obtentores vegetais também podem ser objeto das Licenças referidas. Tal, está previsto na portaria 940/90 de 4 de Outubro (</w:t>
      </w:r>
      <w:r>
        <w:rPr>
          <w:rFonts w:ascii="Times New Roman" w:hAnsi="Times New Roman"/>
          <w:i/>
        </w:rPr>
        <w:t>regime do direito do obtentor nacional de variedade vegetais</w:t>
      </w:r>
      <w:r>
        <w:rPr>
          <w:rFonts w:ascii="Times New Roman" w:hAnsi="Times New Roman"/>
        </w:rPr>
        <w:t>), no seu art. 26, em que a competência para as conceder pertence ao Centro Nacional de Registo de Variedades Vegetais (cfr. art. 26, nº 1) e a nível comunitário está previsto no art. 29 do Regulamento (CEE) nº 2100/94 do Conselho, de 27 de Julho (</w:t>
      </w:r>
      <w:r>
        <w:rPr>
          <w:rFonts w:ascii="Times New Roman" w:hAnsi="Times New Roman"/>
          <w:i/>
        </w:rPr>
        <w:t xml:space="preserve">regime comunitário da </w:t>
      </w:r>
      <w:proofErr w:type="spellStart"/>
      <w:r>
        <w:rPr>
          <w:rFonts w:ascii="Times New Roman" w:hAnsi="Times New Roman"/>
          <w:i/>
        </w:rPr>
        <w:t>protecção</w:t>
      </w:r>
      <w:proofErr w:type="spellEnd"/>
      <w:r>
        <w:rPr>
          <w:rFonts w:ascii="Times New Roman" w:hAnsi="Times New Roman"/>
          <w:i/>
        </w:rPr>
        <w:t xml:space="preserve"> das obtenções vegetais</w:t>
      </w:r>
      <w:r>
        <w:rPr>
          <w:rFonts w:ascii="Times New Roman" w:hAnsi="Times New Roman"/>
        </w:rPr>
        <w:t>), em que a competência para a concessão das licenças compulsórias compete ao Instituto Comunitário de Variedades Vegetais.</w:t>
      </w:r>
      <w:r>
        <w:rPr>
          <w:rFonts w:ascii="Times New Roman" w:hAnsi="Times New Roman"/>
        </w:rPr>
        <w:tab/>
      </w:r>
    </w:p>
    <w:p w:rsidR="00374B8E" w:rsidRDefault="00374B8E" w:rsidP="00374B8E">
      <w:pPr>
        <w:spacing w:before="120" w:after="120"/>
        <w:ind w:right="44" w:firstLine="708"/>
        <w:jc w:val="both"/>
        <w:rPr>
          <w:rFonts w:ascii="Times New Roman" w:hAnsi="Times New Roman"/>
        </w:rPr>
      </w:pPr>
      <w:r>
        <w:rPr>
          <w:rFonts w:ascii="Times New Roman" w:hAnsi="Times New Roman"/>
        </w:rPr>
        <w:t xml:space="preserve">Para finalizar, convém ainda referir que, da mesma forma, os certificados complementares de </w:t>
      </w:r>
      <w:proofErr w:type="spellStart"/>
      <w:r>
        <w:rPr>
          <w:rFonts w:ascii="Times New Roman" w:hAnsi="Times New Roman"/>
        </w:rPr>
        <w:t>protecção</w:t>
      </w:r>
      <w:proofErr w:type="spellEnd"/>
      <w:r>
        <w:rPr>
          <w:rFonts w:ascii="Times New Roman" w:hAnsi="Times New Roman"/>
        </w:rPr>
        <w:t xml:space="preserve"> para os medicamentos e para os produtos </w:t>
      </w:r>
      <w:proofErr w:type="spellStart"/>
      <w:r>
        <w:rPr>
          <w:rFonts w:ascii="Times New Roman" w:hAnsi="Times New Roman"/>
        </w:rPr>
        <w:t>fitofarmacêuticos</w:t>
      </w:r>
      <w:proofErr w:type="spellEnd"/>
      <w:r>
        <w:rPr>
          <w:rFonts w:ascii="Times New Roman" w:hAnsi="Times New Roman"/>
        </w:rPr>
        <w:t xml:space="preserve"> podem ser </w:t>
      </w:r>
      <w:proofErr w:type="spellStart"/>
      <w:r>
        <w:rPr>
          <w:rFonts w:ascii="Times New Roman" w:hAnsi="Times New Roman"/>
        </w:rPr>
        <w:t>objecto</w:t>
      </w:r>
      <w:proofErr w:type="spellEnd"/>
      <w:r>
        <w:rPr>
          <w:rFonts w:ascii="Times New Roman" w:hAnsi="Times New Roman"/>
        </w:rPr>
        <w:t xml:space="preserve"> de licenças compulsórias, de acordo com o art. 5º do Regulamento (CE) nº 1768/92, do Conselho, de 18 de Junho de 1992, relativo à </w:t>
      </w:r>
      <w:r>
        <w:rPr>
          <w:rFonts w:ascii="Times New Roman" w:hAnsi="Times New Roman"/>
          <w:i/>
        </w:rPr>
        <w:t xml:space="preserve">criação de um certificado complementar de </w:t>
      </w:r>
      <w:proofErr w:type="spellStart"/>
      <w:r>
        <w:rPr>
          <w:rFonts w:ascii="Times New Roman" w:hAnsi="Times New Roman"/>
          <w:i/>
        </w:rPr>
        <w:t>protecção</w:t>
      </w:r>
      <w:proofErr w:type="spellEnd"/>
      <w:r>
        <w:rPr>
          <w:rFonts w:ascii="Times New Roman" w:hAnsi="Times New Roman"/>
          <w:i/>
        </w:rPr>
        <w:t xml:space="preserve"> para os medicamentos</w:t>
      </w:r>
      <w:r>
        <w:rPr>
          <w:rFonts w:ascii="Times New Roman" w:hAnsi="Times New Roman"/>
          <w:i/>
          <w:vertAlign w:val="superscript"/>
        </w:rPr>
        <w:footnoteReference w:id="2"/>
      </w:r>
      <w:r>
        <w:rPr>
          <w:rFonts w:ascii="Times New Roman" w:hAnsi="Times New Roman"/>
          <w:i/>
        </w:rPr>
        <w:t>.</w:t>
      </w:r>
      <w:r>
        <w:rPr>
          <w:rFonts w:ascii="Times New Roman" w:hAnsi="Times New Roman"/>
        </w:rPr>
        <w:t xml:space="preserve"> A competência pertence ao INPI ou ao Governo, este último, se o fundamento subjacente for o interesse público.</w:t>
      </w:r>
    </w:p>
    <w:p w:rsidR="00374B8E" w:rsidRDefault="00374B8E" w:rsidP="00374B8E">
      <w:pPr>
        <w:spacing w:before="120" w:after="120"/>
        <w:ind w:right="44" w:firstLine="708"/>
        <w:jc w:val="both"/>
        <w:rPr>
          <w:rFonts w:ascii="Times New Roman" w:hAnsi="Times New Roman"/>
        </w:rPr>
      </w:pPr>
      <w:r>
        <w:rPr>
          <w:rFonts w:ascii="Times New Roman" w:hAnsi="Times New Roman"/>
        </w:rPr>
        <w:t xml:space="preserve">Já quanto às marcas, no direito comparado alguns autores referem que poderá haver a concessão de licenças compulsórias em alguns casos excepcionais, tais como para punir práticas </w:t>
      </w:r>
      <w:proofErr w:type="spellStart"/>
      <w:r>
        <w:rPr>
          <w:rFonts w:ascii="Times New Roman" w:hAnsi="Times New Roman"/>
        </w:rPr>
        <w:t>anticompetitivas</w:t>
      </w:r>
      <w:proofErr w:type="spellEnd"/>
      <w:r>
        <w:rPr>
          <w:rFonts w:ascii="Times New Roman" w:hAnsi="Times New Roman"/>
        </w:rPr>
        <w:t xml:space="preserve"> por parte dos detentores da mesma, propondo mesmo a introdução de legislação nesse </w:t>
      </w:r>
      <w:r w:rsidRPr="00462C4A">
        <w:rPr>
          <w:rFonts w:ascii="Times New Roman" w:hAnsi="Times New Roman"/>
        </w:rPr>
        <w:t>sentido (BABIN).</w:t>
      </w:r>
      <w:r>
        <w:rPr>
          <w:rFonts w:ascii="Times New Roman" w:hAnsi="Times New Roman"/>
        </w:rPr>
        <w:t xml:space="preserve"> Não vemos como isso possa suceder. Em primeiro lugar, devido à sua não utilidade prática para as mesmas. Não cremos que o método indicado para punir práticas </w:t>
      </w:r>
      <w:proofErr w:type="spellStart"/>
      <w:r>
        <w:rPr>
          <w:rFonts w:ascii="Times New Roman" w:hAnsi="Times New Roman"/>
        </w:rPr>
        <w:t>anticoncorrenciais</w:t>
      </w:r>
      <w:proofErr w:type="spellEnd"/>
      <w:r>
        <w:rPr>
          <w:rFonts w:ascii="Times New Roman" w:hAnsi="Times New Roman"/>
        </w:rPr>
        <w:t xml:space="preserve"> seja a licença compulsória, pois pode haver outras formas de tutela, como a sanção pecuniária. Basta pensar que, nas patentes, um licenciado compulsoriamente pode deixar intactos os objetivos de proteção da mesma, o que não acontece na </w:t>
      </w:r>
      <w:r w:rsidRPr="00462C4A">
        <w:rPr>
          <w:rFonts w:ascii="Times New Roman" w:hAnsi="Times New Roman"/>
        </w:rPr>
        <w:t xml:space="preserve">marca. (PALLADINO, 1978). A marca tem como propósito fazer a distinção entre produtos ou serviços, pelo que não fazia muito sentido habilitar um terceiro fazê-lo sem o consentimento do titular. (GERVAIS, 2003). Em segundo lugar, e mais importante, porque o Acordo </w:t>
      </w:r>
      <w:proofErr w:type="spellStart"/>
      <w:r w:rsidRPr="00462C4A">
        <w:rPr>
          <w:rFonts w:ascii="Times New Roman" w:hAnsi="Times New Roman"/>
          <w:i/>
        </w:rPr>
        <w:t>Trips</w:t>
      </w:r>
      <w:proofErr w:type="spellEnd"/>
      <w:r w:rsidRPr="00462C4A">
        <w:rPr>
          <w:rFonts w:ascii="Times New Roman" w:hAnsi="Times New Roman"/>
        </w:rPr>
        <w:t>, no seu art. 21º, proíbe</w:t>
      </w:r>
      <w:r>
        <w:rPr>
          <w:rFonts w:ascii="Times New Roman" w:hAnsi="Times New Roman"/>
        </w:rPr>
        <w:t xml:space="preserve"> a concessão de licenças compulsórias no que diz respeito às marcas.</w:t>
      </w:r>
    </w:p>
    <w:p w:rsidR="00374B8E" w:rsidRPr="00462C4A" w:rsidRDefault="00374B8E" w:rsidP="00374B8E">
      <w:pPr>
        <w:pStyle w:val="Ttulo3"/>
        <w:spacing w:before="120" w:after="120"/>
        <w:rPr>
          <w:rFonts w:ascii="Times New Roman" w:hAnsi="Times New Roman"/>
          <w:sz w:val="24"/>
          <w:szCs w:val="24"/>
        </w:rPr>
      </w:pPr>
      <w:r>
        <w:rPr>
          <w:rFonts w:ascii="Times New Roman" w:hAnsi="Times New Roman"/>
          <w:b w:val="0"/>
          <w:bCs w:val="0"/>
          <w:sz w:val="24"/>
          <w:szCs w:val="24"/>
        </w:rPr>
        <w:t xml:space="preserve">2 </w:t>
      </w:r>
      <w:r>
        <w:rPr>
          <w:rFonts w:ascii="Times New Roman" w:hAnsi="Times New Roman"/>
          <w:sz w:val="24"/>
          <w:szCs w:val="24"/>
        </w:rPr>
        <w:t xml:space="preserve">ANTECEDENTES </w:t>
      </w:r>
      <w:r w:rsidRPr="00462C4A">
        <w:rPr>
          <w:rFonts w:ascii="Times New Roman" w:hAnsi="Times New Roman"/>
          <w:sz w:val="24"/>
          <w:szCs w:val="24"/>
        </w:rPr>
        <w:t>HISTÓRICOS</w:t>
      </w:r>
    </w:p>
    <w:p w:rsidR="00374B8E" w:rsidRPr="00462C4A" w:rsidRDefault="00374B8E" w:rsidP="00374B8E">
      <w:pPr>
        <w:spacing w:before="120" w:after="120"/>
        <w:ind w:right="44" w:firstLine="708"/>
        <w:jc w:val="both"/>
        <w:rPr>
          <w:rFonts w:ascii="Times New Roman" w:hAnsi="Times New Roman"/>
        </w:rPr>
      </w:pPr>
      <w:r w:rsidRPr="00462C4A">
        <w:rPr>
          <w:rFonts w:ascii="Times New Roman" w:hAnsi="Times New Roman"/>
        </w:rPr>
        <w:t>Se olharmos para a evolução histórica das licenças em estudo, verificamos que esta começou por relacionar-se com a obrigação de explorar a patente. (CORREIA, 1996).  Esta ligação estava originariamente e umbilicalmente ligada à obrigação de explorar</w:t>
      </w:r>
      <w:r>
        <w:rPr>
          <w:rFonts w:ascii="Times New Roman" w:hAnsi="Times New Roman"/>
        </w:rPr>
        <w:t xml:space="preserve"> a invenção em cada território do estado. Nos dias de hoje, esta concepção está um pouco alterada, mas, em pleno século XVII, os países exigiam que a patente fosse explorada unicamente para satisfazer as necessidades do território nacional de onde fosse originária a patente. Caso isso não sucedesse, o governo declarava a sua caducidade. O instituto da licença compulsória surgiu </w:t>
      </w:r>
      <w:r>
        <w:rPr>
          <w:rFonts w:ascii="Times New Roman" w:hAnsi="Times New Roman"/>
        </w:rPr>
        <w:lastRenderedPageBreak/>
        <w:t xml:space="preserve">precisamente para evitar essa sanção tão pesada, pois a caducidade inviabilizava a exploração total da invenção </w:t>
      </w:r>
      <w:r w:rsidRPr="00462C4A">
        <w:rPr>
          <w:rFonts w:ascii="Times New Roman" w:hAnsi="Times New Roman"/>
        </w:rPr>
        <w:t>por um titular. (CORREIA, 1996). Na realidade, a licença compulsória tornou-se o meio indicado, de acordo com o princípio da proporcionalidade, para tutelar os casos em que havia a concessão de direitos exclusivos de patentes, mas estes não eram explorados.</w:t>
      </w:r>
      <w:r w:rsidRPr="00462C4A">
        <w:rPr>
          <w:rStyle w:val="Refdenotaderodap"/>
        </w:rPr>
        <w:footnoteReference w:id="3"/>
      </w:r>
    </w:p>
    <w:p w:rsidR="00374B8E" w:rsidRDefault="00374B8E" w:rsidP="00374B8E">
      <w:pPr>
        <w:spacing w:before="120" w:after="120"/>
        <w:ind w:right="44" w:firstLine="708"/>
        <w:jc w:val="both"/>
        <w:rPr>
          <w:rFonts w:ascii="Times New Roman" w:hAnsi="Times New Roman"/>
        </w:rPr>
      </w:pPr>
      <w:r w:rsidRPr="00462C4A">
        <w:rPr>
          <w:rFonts w:ascii="Times New Roman" w:hAnsi="Times New Roman"/>
        </w:rPr>
        <w:t>Foi com os Estatutos do Monopólio do Reino Unido que se consagrou, pela primeira vez, as licenças compulsórias. No entanto, estas só começaram a ser previstas por outros países europeus no século XIX. (CORREIA, 1996).</w:t>
      </w:r>
    </w:p>
    <w:p w:rsidR="00374B8E" w:rsidRDefault="00374B8E" w:rsidP="00374B8E">
      <w:pPr>
        <w:spacing w:before="120" w:after="120"/>
        <w:ind w:firstLine="708"/>
        <w:jc w:val="both"/>
        <w:rPr>
          <w:rFonts w:ascii="Times New Roman" w:hAnsi="Times New Roman"/>
        </w:rPr>
      </w:pPr>
      <w:r>
        <w:rPr>
          <w:rFonts w:ascii="Times New Roman" w:hAnsi="Times New Roman"/>
        </w:rPr>
        <w:t>À medida que foram surgindo as diversas disposições a nível europeu, e devido ao cada vez maior intercâmbio comercial, foi sentida a necessidade de tutelar esta questão a nível internacional. Destarte, numa das revisões da Convenção da União de Paris para a Proteção da Propriedade Industrial, mais precisamente na conferência de Haia de 1925, foi estipulado este remédio para a falta de exploração da patente</w:t>
      </w:r>
      <w:r>
        <w:rPr>
          <w:rFonts w:ascii="Times New Roman" w:hAnsi="Times New Roman"/>
          <w:vertAlign w:val="superscript"/>
        </w:rPr>
        <w:footnoteReference w:id="4"/>
      </w:r>
      <w:r>
        <w:rPr>
          <w:rFonts w:ascii="Times New Roman" w:hAnsi="Times New Roman"/>
        </w:rPr>
        <w:t xml:space="preserve">. Na realidade, mais uma vez, sentiu-se a necessidade de encontrar uma sanção adequada para o problema da falta de exploração da patente. Como referimos, esta disposição veio a ser consagrada para ultrapassar uma solução mais pesada, que tinha sido acordada na revisão da CUP, na conferência de Washington em 1911, que passava, precisamente, pela previsão da caducidade da patente caso esta não fosse explorada. A partir da revisão de 1925, a caducidade apenas passou a ser </w:t>
      </w:r>
      <w:r w:rsidRPr="00462C4A">
        <w:rPr>
          <w:rFonts w:ascii="Times New Roman" w:hAnsi="Times New Roman"/>
        </w:rPr>
        <w:t xml:space="preserve">possível </w:t>
      </w:r>
      <w:r w:rsidRPr="00462C4A">
        <w:rPr>
          <w:rFonts w:ascii="Times New Roman" w:hAnsi="Times New Roman"/>
          <w:iCs/>
        </w:rPr>
        <w:t xml:space="preserve">para o caso de a concessão de licenças compulsórias não ter sido suficiente para prevenir tais abusos. </w:t>
      </w:r>
      <w:r w:rsidRPr="00462C4A">
        <w:rPr>
          <w:lang w:val="pt-PT"/>
        </w:rPr>
        <w:t>(</w:t>
      </w:r>
      <w:r w:rsidRPr="00462C4A">
        <w:rPr>
          <w:lang w:val="pt-PT" w:eastAsia="pt-PT"/>
        </w:rPr>
        <w:t>REICHMAN</w:t>
      </w:r>
      <w:r w:rsidRPr="00462C4A">
        <w:rPr>
          <w:rFonts w:ascii="Times New Roman" w:hAnsi="Times New Roman"/>
        </w:rPr>
        <w:t>, 2005).</w:t>
      </w:r>
      <w:r>
        <w:rPr>
          <w:rFonts w:ascii="Times New Roman" w:hAnsi="Times New Roman"/>
        </w:rPr>
        <w:t xml:space="preserve"> </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A CUP, no seu artigo 5ºA, nº 2 e 4, previu as licenças compulsórias somente para casos de falta de exploração. Contudo, desde logo, deixou a porta aberta para a existência de outros motivos que fundamentassem a atribuição deste tipo de licenças, ao referir no seu nº 2 que a menção à licença compulsória com base na </w:t>
      </w:r>
      <w:r>
        <w:rPr>
          <w:rFonts w:ascii="Times New Roman" w:hAnsi="Times New Roman"/>
          <w:i/>
          <w:iCs/>
        </w:rPr>
        <w:t xml:space="preserve">falta de exploração </w:t>
      </w:r>
      <w:r>
        <w:rPr>
          <w:rFonts w:ascii="Times New Roman" w:hAnsi="Times New Roman"/>
        </w:rPr>
        <w:t xml:space="preserve">era meramente exemplificativa. Esta disposição ainda hoje se mantém em vigor, contudo foi completada pelas disposições presentes no </w:t>
      </w:r>
      <w:r>
        <w:rPr>
          <w:rFonts w:ascii="Times New Roman" w:hAnsi="Times New Roman"/>
          <w:iCs/>
        </w:rPr>
        <w:t>Acordo Relativo aos Aspectos do Direito da Propriedade Intelectual Relacionados com o Comércio</w:t>
      </w:r>
      <w:r>
        <w:rPr>
          <w:rFonts w:ascii="Times New Roman" w:hAnsi="Times New Roman"/>
        </w:rPr>
        <w:t xml:space="preserve"> (doravante somente Acordo </w:t>
      </w:r>
      <w:proofErr w:type="spellStart"/>
      <w:r>
        <w:rPr>
          <w:rFonts w:ascii="Times New Roman" w:hAnsi="Times New Roman"/>
          <w:i/>
        </w:rPr>
        <w:t>Trips</w:t>
      </w:r>
      <w:proofErr w:type="spellEnd"/>
      <w:r>
        <w:rPr>
          <w:rStyle w:val="Refdenotaderodap"/>
        </w:rPr>
        <w:footnoteReference w:id="5"/>
      </w:r>
      <w:r>
        <w:rPr>
          <w:rFonts w:ascii="Times New Roman" w:hAnsi="Times New Roman"/>
        </w:rPr>
        <w:t xml:space="preserve">). </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No que diz respeito às </w:t>
      </w:r>
      <w:r w:rsidRPr="00462C4A">
        <w:rPr>
          <w:rFonts w:ascii="Times New Roman" w:hAnsi="Times New Roman"/>
        </w:rPr>
        <w:t>alterações ao art. 5ºA</w:t>
      </w:r>
      <w:r>
        <w:rPr>
          <w:rFonts w:ascii="Times New Roman" w:hAnsi="Times New Roman"/>
        </w:rPr>
        <w:t xml:space="preserve"> da CUP, temos ainda que tomar nota de outra questão. Não obstante de se ter estipulado a sanção da licença compulsória para o caso de falta de exploração, previu-se ainda que </w:t>
      </w:r>
      <w:proofErr w:type="spellStart"/>
      <w:r>
        <w:rPr>
          <w:rFonts w:ascii="Times New Roman" w:hAnsi="Times New Roman"/>
        </w:rPr>
        <w:t>esta</w:t>
      </w:r>
      <w:proofErr w:type="spellEnd"/>
      <w:r>
        <w:rPr>
          <w:rFonts w:ascii="Times New Roman" w:hAnsi="Times New Roman"/>
        </w:rPr>
        <w:t xml:space="preserve"> – </w:t>
      </w:r>
      <w:proofErr w:type="spellStart"/>
      <w:r>
        <w:rPr>
          <w:rFonts w:ascii="Times New Roman" w:hAnsi="Times New Roman"/>
          <w:i/>
        </w:rPr>
        <w:t>rectius</w:t>
      </w:r>
      <w:proofErr w:type="spellEnd"/>
      <w:r>
        <w:rPr>
          <w:rFonts w:ascii="Times New Roman" w:hAnsi="Times New Roman"/>
          <w:i/>
        </w:rPr>
        <w:t xml:space="preserve"> </w:t>
      </w:r>
      <w:r>
        <w:rPr>
          <w:rFonts w:ascii="Times New Roman" w:hAnsi="Times New Roman"/>
        </w:rPr>
        <w:t xml:space="preserve">e a caducidade– não podiam ser impostas ao titular da patente antes de ter ultrapassado o prazo de três anos, a contar da data da concessão da patente, ou quando o proprietário da patente apresentasse </w:t>
      </w:r>
      <w:r>
        <w:rPr>
          <w:rFonts w:ascii="Times New Roman" w:hAnsi="Times New Roman"/>
          <w:iCs/>
        </w:rPr>
        <w:t>causas justificativas para a não exploração</w:t>
      </w:r>
      <w:r>
        <w:rPr>
          <w:rFonts w:ascii="Times New Roman" w:hAnsi="Times New Roman"/>
        </w:rPr>
        <w:t xml:space="preserve">. Estas limitações, que continuam a ser observadas, tanto na CUP, e nas várias ordens jurídicas estaduais, tiveram como objetivo, permitir que o titular da patente tivesse tempo de colocá-la comercializável e visaram, também, impedir que existissem utilizações abusivas do instituto das licenças compulsórias, pois, um hiato temporal entre a concessão da patente e a sua efetiva comercialização é perfeitamente normal.  </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Da mesma forma, importante em termos históricos foi o gradual reconhecimento do </w:t>
      </w:r>
      <w:r>
        <w:rPr>
          <w:rFonts w:ascii="Times New Roman" w:hAnsi="Times New Roman"/>
          <w:i/>
          <w:iCs/>
        </w:rPr>
        <w:t>interesse público</w:t>
      </w:r>
      <w:r>
        <w:rPr>
          <w:rFonts w:ascii="Times New Roman" w:hAnsi="Times New Roman"/>
        </w:rPr>
        <w:t xml:space="preserve"> como fundamento para a concessão de licenças compulsórias. Na verdade, apesar de, como já referimos, a CUP ter deixado a porta aberta para a existência de outros fundamentos, além da falta de exploração, muitos países interpretavam o artigo 5ºA, nº 1 como </w:t>
      </w:r>
      <w:r>
        <w:rPr>
          <w:rFonts w:ascii="Times New Roman" w:hAnsi="Times New Roman"/>
        </w:rPr>
        <w:lastRenderedPageBreak/>
        <w:t xml:space="preserve">estabelecendo unicamente um fundamento para a concessão das mencionadas licenças. Contudo, na </w:t>
      </w:r>
      <w:r w:rsidRPr="00462C4A">
        <w:rPr>
          <w:rFonts w:ascii="Times New Roman" w:hAnsi="Times New Roman"/>
        </w:rPr>
        <w:t xml:space="preserve">conferência de Lisboa em 1958, a entidade que administrava a CUP veio clarificar os estados membros ao interpretar o art.5ºA como permitindo estes de conceder licenças compulsórias com base no interesse público, mesmo não tendo sido ultrapassado o tempo estipulado para a falta de exploração. </w:t>
      </w:r>
      <w:r w:rsidRPr="00462C4A">
        <w:rPr>
          <w:lang w:val="pt-PT"/>
        </w:rPr>
        <w:t>(</w:t>
      </w:r>
      <w:r w:rsidRPr="00462C4A">
        <w:rPr>
          <w:lang w:val="pt-PT" w:eastAsia="pt-PT"/>
        </w:rPr>
        <w:t>REICHMAN</w:t>
      </w:r>
      <w:r w:rsidRPr="00462C4A">
        <w:rPr>
          <w:rFonts w:ascii="Times New Roman" w:hAnsi="Times New Roman"/>
        </w:rPr>
        <w:t>, 2005). Curiosamente, foi com a revisão de 1958 que a CUP passou a prever no seu artigo</w:t>
      </w:r>
      <w:r>
        <w:rPr>
          <w:rFonts w:ascii="Times New Roman" w:hAnsi="Times New Roman"/>
        </w:rPr>
        <w:t xml:space="preserve"> 5ºA, nº 4, que, para além dos três anos a partir da data da patente, poderia aplicar o prazo de quatro anos a partir da data do pedido de patente, estipulando-se ainda que a licença compulsória estabelecida nestes termos, deveria ser não exclusiva e não transferível. Neste último caso, só poderia ser transferível com parte da empresa ou estabelecimento comercial que estivesse a explorar a patente</w:t>
      </w:r>
      <w:r>
        <w:rPr>
          <w:rFonts w:ascii="Times New Roman" w:hAnsi="Times New Roman"/>
          <w:vertAlign w:val="superscript"/>
        </w:rPr>
        <w:footnoteReference w:id="6"/>
      </w:r>
      <w:r>
        <w:rPr>
          <w:rFonts w:ascii="Times New Roman" w:hAnsi="Times New Roman"/>
        </w:rPr>
        <w:t>.</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No que diz respeito às licenças compulsórias por dependência entre patentes, nas feições que tem hoje, a sua origem histórica parece ter estado na conferência de 1958 para a revisão da CUP. Numa proposta feita pelo grupo suíço da Associação Internacional para a Proteção da Propriedade Industrial, estes, além de outras matérias, propuseram que uma invenção que estivesse protegida por uma patente que não podia ser explorada sem infringir outra invenção, e que permitisse um significativo progresso técnico, o titular dessa patente teria direito a uma licença compulsória sobre a patente que iria infringir. Referia além do mais que, no caso de as invenções conterem a mesma função econômica, para além de existir uma licença compulsória a favor da titular da patente dependente, o titular da patente dominante poderia requerer uma licença </w:t>
      </w:r>
      <w:r w:rsidRPr="00462C4A">
        <w:rPr>
          <w:rFonts w:ascii="Times New Roman" w:hAnsi="Times New Roman"/>
        </w:rPr>
        <w:t>cruzada. (</w:t>
      </w:r>
      <w:r>
        <w:rPr>
          <w:rFonts w:ascii="Times New Roman" w:hAnsi="Times New Roman"/>
          <w:lang w:val="pt-PT"/>
        </w:rPr>
        <w:t>CARVALHO</w:t>
      </w:r>
      <w:r>
        <w:rPr>
          <w:rFonts w:ascii="Times New Roman" w:hAnsi="Times New Roman"/>
          <w:iCs/>
          <w:lang w:val="pt-PT"/>
        </w:rPr>
        <w:t>, 2002)</w:t>
      </w:r>
      <w:r>
        <w:rPr>
          <w:rFonts w:ascii="Times New Roman" w:hAnsi="Times New Roman"/>
          <w:lang w:val="pt-PT"/>
        </w:rPr>
        <w:t xml:space="preserve">. </w:t>
      </w:r>
      <w:r>
        <w:rPr>
          <w:rFonts w:ascii="Times New Roman" w:hAnsi="Times New Roman"/>
        </w:rPr>
        <w:t>Apesar de esta proposta não ter tido aceitação, foi mais tarde adotada pelo Acordo TRIPS.</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Em 1994, surgiu precisamente o Acordo </w:t>
      </w:r>
      <w:proofErr w:type="spellStart"/>
      <w:r>
        <w:rPr>
          <w:rFonts w:ascii="Times New Roman" w:hAnsi="Times New Roman"/>
          <w:i/>
        </w:rPr>
        <w:t>Trips</w:t>
      </w:r>
      <w:proofErr w:type="spellEnd"/>
      <w:r>
        <w:rPr>
          <w:rFonts w:ascii="Times New Roman" w:hAnsi="Times New Roman"/>
        </w:rPr>
        <w:t xml:space="preserve">. Apesar das negociações difíceis entre países desenvolvidos e em desenvolvimento, estes conseguiram consagrar no seu texto (cfr. art. 31º), as licenças compulsórias, embora não fosse dada este </w:t>
      </w:r>
      <w:r>
        <w:rPr>
          <w:rFonts w:ascii="Times New Roman" w:hAnsi="Times New Roman"/>
          <w:i/>
        </w:rPr>
        <w:t xml:space="preserve">nomen </w:t>
      </w:r>
      <w:r>
        <w:rPr>
          <w:rFonts w:ascii="Times New Roman" w:hAnsi="Times New Roman"/>
        </w:rPr>
        <w:t>jurídico, referindo-se a estas apenas como “</w:t>
      </w:r>
      <w:r>
        <w:rPr>
          <w:rFonts w:ascii="Times New Roman" w:hAnsi="Times New Roman"/>
          <w:i/>
        </w:rPr>
        <w:t>outros usos sem autorização do titular da patente</w:t>
      </w:r>
      <w:r>
        <w:rPr>
          <w:rFonts w:ascii="Times New Roman" w:hAnsi="Times New Roman"/>
        </w:rPr>
        <w:t>”.</w:t>
      </w:r>
      <w:r>
        <w:rPr>
          <w:rStyle w:val="Refdenotaderodap"/>
        </w:rPr>
        <w:footnoteReference w:id="7"/>
      </w:r>
      <w:r>
        <w:rPr>
          <w:rFonts w:ascii="Times New Roman" w:hAnsi="Times New Roman"/>
        </w:rPr>
        <w:t xml:space="preserve"> Neste Acordo, que consta num dos anexos ao Acordo sobre a OMC, estipularam-se condições para a concessão deste tipo de licenças, que os países membros deverão respeitar na sua legislação nacional. </w:t>
      </w:r>
      <w:proofErr w:type="spellStart"/>
      <w:r>
        <w:rPr>
          <w:rFonts w:ascii="Times New Roman" w:hAnsi="Times New Roman"/>
        </w:rPr>
        <w:t>Mau</w:t>
      </w:r>
      <w:proofErr w:type="spellEnd"/>
      <w:r>
        <w:rPr>
          <w:rFonts w:ascii="Times New Roman" w:hAnsi="Times New Roman"/>
        </w:rPr>
        <w:t xml:space="preserve"> grado ter-se previsto as licenças compulsórias, verifica-se, facilmente, que este consagrou condições mais rígidas para a concessão destas licenças compulsórias do que anteriores convenções internacionais.</w:t>
      </w:r>
      <w:r>
        <w:rPr>
          <w:rStyle w:val="Refdenotaderodap"/>
        </w:rPr>
        <w:footnoteReference w:id="8"/>
      </w:r>
    </w:p>
    <w:p w:rsidR="00374B8E" w:rsidRPr="00190857" w:rsidRDefault="00374B8E" w:rsidP="00374B8E">
      <w:pPr>
        <w:pStyle w:val="Ttulo3"/>
        <w:spacing w:before="120" w:after="120"/>
        <w:jc w:val="both"/>
        <w:rPr>
          <w:rFonts w:ascii="Times New Roman" w:hAnsi="Times New Roman"/>
          <w:sz w:val="24"/>
          <w:szCs w:val="24"/>
        </w:rPr>
      </w:pPr>
      <w:r>
        <w:rPr>
          <w:rFonts w:ascii="Times New Roman" w:hAnsi="Times New Roman"/>
          <w:sz w:val="24"/>
          <w:szCs w:val="24"/>
        </w:rPr>
        <w:t>3 A PREVISÃO DAS LICENÇAS COMPULSÓRIA NA ORDEM JURÍDICA INTERNACIONAL</w:t>
      </w:r>
    </w:p>
    <w:p w:rsidR="00374B8E" w:rsidRDefault="00374B8E" w:rsidP="00374B8E">
      <w:pPr>
        <w:tabs>
          <w:tab w:val="left" w:pos="0"/>
        </w:tabs>
        <w:spacing w:before="120" w:after="120"/>
        <w:jc w:val="both"/>
        <w:rPr>
          <w:rFonts w:ascii="Times New Roman" w:hAnsi="Times New Roman"/>
        </w:rPr>
      </w:pPr>
      <w:r>
        <w:rPr>
          <w:rFonts w:ascii="Times New Roman" w:hAnsi="Times New Roman"/>
        </w:rPr>
        <w:tab/>
        <w:t xml:space="preserve">Conforme consta do CUP e do Acordo </w:t>
      </w:r>
      <w:proofErr w:type="spellStart"/>
      <w:r>
        <w:rPr>
          <w:rFonts w:ascii="Times New Roman" w:hAnsi="Times New Roman"/>
          <w:i/>
        </w:rPr>
        <w:t>Trips</w:t>
      </w:r>
      <w:proofErr w:type="spellEnd"/>
      <w:r>
        <w:rPr>
          <w:rFonts w:ascii="Times New Roman" w:hAnsi="Times New Roman"/>
        </w:rPr>
        <w:t xml:space="preserve">, as licenças compulsórias estão previstas para várias situações. A importância destas disposições é bastante relevante. Para encontrarmos o regime que se encontra em vigor nos países membros da OMC, é preciso cruzar estas duas fontes com o regime </w:t>
      </w:r>
      <w:proofErr w:type="spellStart"/>
      <w:r>
        <w:rPr>
          <w:rFonts w:ascii="Times New Roman" w:hAnsi="Times New Roman"/>
        </w:rPr>
        <w:t>nacionalrespectivo</w:t>
      </w:r>
      <w:proofErr w:type="spellEnd"/>
      <w:r>
        <w:rPr>
          <w:rFonts w:ascii="Times New Roman" w:hAnsi="Times New Roman"/>
        </w:rPr>
        <w:t xml:space="preserve">. Não nos podemos esquecer que a CUP e o Acordo </w:t>
      </w:r>
      <w:proofErr w:type="spellStart"/>
      <w:r>
        <w:rPr>
          <w:rFonts w:ascii="Times New Roman" w:hAnsi="Times New Roman"/>
          <w:i/>
        </w:rPr>
        <w:t>Trips</w:t>
      </w:r>
      <w:proofErr w:type="spellEnd"/>
      <w:r>
        <w:rPr>
          <w:rFonts w:ascii="Times New Roman" w:hAnsi="Times New Roman"/>
        </w:rPr>
        <w:t xml:space="preserve"> estabelecem as bases mínimas para a regulação desta matéria. Esta regra obriga o CPI a não poder regular as condições de concessão de forma mais branda do que o estipulado nas fontes internacionais mencionadas. E é através destas duas fontes em conjunto com o direito de índole nacional que se aborde, que se consegue encontrar qual o regime vigente no que diz respeito a licenças compulsórias. E não se pense que o Acordo </w:t>
      </w:r>
      <w:proofErr w:type="spellStart"/>
      <w:r>
        <w:rPr>
          <w:rFonts w:ascii="Times New Roman" w:hAnsi="Times New Roman"/>
          <w:i/>
        </w:rPr>
        <w:t>Trips</w:t>
      </w:r>
      <w:proofErr w:type="spellEnd"/>
      <w:r>
        <w:rPr>
          <w:rFonts w:ascii="Times New Roman" w:hAnsi="Times New Roman"/>
        </w:rPr>
        <w:t xml:space="preserve"> ou a CUP tenham, na nossa </w:t>
      </w:r>
      <w:r>
        <w:rPr>
          <w:rFonts w:ascii="Times New Roman" w:hAnsi="Times New Roman"/>
        </w:rPr>
        <w:lastRenderedPageBreak/>
        <w:t>opinião, efeito direto</w:t>
      </w:r>
      <w:r>
        <w:rPr>
          <w:rStyle w:val="Refdenotaderodap"/>
        </w:rPr>
        <w:footnoteReference w:id="9"/>
      </w:r>
      <w:r>
        <w:rPr>
          <w:rFonts w:ascii="Times New Roman" w:hAnsi="Times New Roman"/>
        </w:rPr>
        <w:t>, mas a estipulação deste standard mínimo, obriga a ter em conta a interpretação das disposições consagradas nestes dois instrumentos.</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Antes de entrarmos a fundo nos fundamentos, nota ainda para uma questão: a CUP e o Acordo </w:t>
      </w:r>
      <w:proofErr w:type="spellStart"/>
      <w:r>
        <w:rPr>
          <w:rFonts w:ascii="Times New Roman" w:hAnsi="Times New Roman"/>
          <w:i/>
        </w:rPr>
        <w:t>Trips</w:t>
      </w:r>
      <w:proofErr w:type="spellEnd"/>
      <w:r>
        <w:rPr>
          <w:rFonts w:ascii="Times New Roman" w:hAnsi="Times New Roman"/>
          <w:i/>
        </w:rPr>
        <w:t xml:space="preserve"> </w:t>
      </w:r>
      <w:r>
        <w:rPr>
          <w:rFonts w:ascii="Times New Roman" w:hAnsi="Times New Roman"/>
        </w:rPr>
        <w:t>preveem a concessão de licenças compulsórias com base em vários fundamentos, sendo que estes, como refere Correia (2000), não limitam os Estados Membros de estipularem licenças compulsórias com outros fundamentos.</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Temos, desde logo, a previsão na CUP de licenças compulsórias para a falta ou insuficiente exploração da patente – ou modelo de utilidade (cfr. art. 5ºA, nº 2 a </w:t>
      </w:r>
      <w:proofErr w:type="gramStart"/>
      <w:r>
        <w:rPr>
          <w:rFonts w:ascii="Times New Roman" w:hAnsi="Times New Roman"/>
        </w:rPr>
        <w:t>5)</w:t>
      </w:r>
      <w:r>
        <w:rPr>
          <w:rStyle w:val="Refdenotaderodap"/>
        </w:rPr>
        <w:footnoteReference w:id="10"/>
      </w:r>
      <w:r>
        <w:rPr>
          <w:rFonts w:ascii="Times New Roman" w:hAnsi="Times New Roman"/>
        </w:rPr>
        <w:t>/</w:t>
      </w:r>
      <w:proofErr w:type="gramEnd"/>
      <w:r>
        <w:rPr>
          <w:rStyle w:val="Refdenotaderodap"/>
        </w:rPr>
        <w:footnoteReference w:id="11"/>
      </w:r>
      <w:r>
        <w:rPr>
          <w:rFonts w:ascii="Times New Roman" w:hAnsi="Times New Roman"/>
        </w:rPr>
        <w:t xml:space="preserve">. </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Esta tem como motivo o facto de o titular da patente, apesar de ter um direito de monopólio exclusivo de utilização daquela mesma patente, </w:t>
      </w:r>
      <w:r w:rsidRPr="00462C4A">
        <w:rPr>
          <w:rFonts w:ascii="Times New Roman" w:hAnsi="Times New Roman"/>
        </w:rPr>
        <w:t>não a utilizar de modo a satisfazer</w:t>
      </w:r>
      <w:r>
        <w:rPr>
          <w:rFonts w:ascii="Times New Roman" w:hAnsi="Times New Roman"/>
        </w:rPr>
        <w:t xml:space="preserve"> as necessidades do mercado nacional. Não é pelo facto de estarmos perante um direito </w:t>
      </w:r>
      <w:proofErr w:type="spellStart"/>
      <w:r>
        <w:rPr>
          <w:rFonts w:ascii="Times New Roman" w:hAnsi="Times New Roman"/>
        </w:rPr>
        <w:t>subjectivo</w:t>
      </w:r>
      <w:proofErr w:type="spellEnd"/>
      <w:r>
        <w:rPr>
          <w:rFonts w:ascii="Times New Roman" w:hAnsi="Times New Roman"/>
        </w:rPr>
        <w:t xml:space="preserve"> do patenteado que este não terá também deveres. Podemos assim dizer que esta modalidade de licença compulsória visa sancionar um abuso de direito de propriedade industrial.</w:t>
      </w:r>
      <w:r>
        <w:rPr>
          <w:rFonts w:ascii="Times New Roman" w:hAnsi="Times New Roman"/>
          <w:vertAlign w:val="superscript"/>
        </w:rPr>
        <w:footnoteReference w:id="12"/>
      </w:r>
    </w:p>
    <w:p w:rsidR="00374B8E" w:rsidRDefault="00374B8E" w:rsidP="00374B8E">
      <w:pPr>
        <w:spacing w:before="120" w:after="120"/>
        <w:ind w:firstLine="708"/>
        <w:jc w:val="both"/>
        <w:rPr>
          <w:rFonts w:ascii="Times New Roman" w:hAnsi="Times New Roman"/>
        </w:rPr>
      </w:pPr>
      <w:r>
        <w:rPr>
          <w:rFonts w:ascii="Times New Roman" w:hAnsi="Times New Roman"/>
        </w:rPr>
        <w:lastRenderedPageBreak/>
        <w:t>Este fundamento de licença compulsória tem implícita uma sanção ao titular do direito de propriedade industrial, pela não exploração da mesma.</w:t>
      </w:r>
      <w:r>
        <w:rPr>
          <w:rFonts w:ascii="Times New Roman" w:hAnsi="Times New Roman"/>
          <w:vertAlign w:val="superscript"/>
        </w:rPr>
        <w:footnoteReference w:id="13"/>
      </w:r>
    </w:p>
    <w:p w:rsidR="00374B8E" w:rsidRDefault="00374B8E" w:rsidP="00374B8E">
      <w:pPr>
        <w:spacing w:before="120" w:after="120"/>
        <w:ind w:firstLine="708"/>
        <w:jc w:val="both"/>
        <w:rPr>
          <w:rFonts w:ascii="Times New Roman" w:hAnsi="Times New Roman"/>
        </w:rPr>
      </w:pPr>
      <w:r>
        <w:rPr>
          <w:rFonts w:ascii="Times New Roman" w:hAnsi="Times New Roman"/>
        </w:rPr>
        <w:t>Não obstante, para a concessão desta licença, teremos que estar perante um requisito: a ultrapassagem do prazo para a comercialização da patente.</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O nº 4 do art.5ºA da CUP, menciona que uma licença compulsória com base neste fundamento só pode ser obtido depois de </w:t>
      </w:r>
      <w:r>
        <w:rPr>
          <w:rFonts w:ascii="Times New Roman" w:hAnsi="Times New Roman"/>
          <w:iCs/>
        </w:rPr>
        <w:t>expirados determinados prazos</w:t>
      </w:r>
      <w:r>
        <w:rPr>
          <w:rFonts w:ascii="Times New Roman" w:hAnsi="Times New Roman"/>
        </w:rPr>
        <w:t xml:space="preserve">. Este contempla que a exploração deve ter início </w:t>
      </w:r>
      <w:r>
        <w:rPr>
          <w:rFonts w:ascii="Times New Roman" w:hAnsi="Times New Roman"/>
          <w:iCs/>
        </w:rPr>
        <w:t>no prazo de quatro anos a contar do pedido de patente, ou no prazo de três anos a contar da data da concessão.</w:t>
      </w:r>
      <w:r>
        <w:rPr>
          <w:rFonts w:ascii="Times New Roman" w:hAnsi="Times New Roman"/>
        </w:rPr>
        <w:t xml:space="preserve"> O texto legal refere ainda que se aplica o prazo mais longo, se estes dois concorrerem entre si. A razão de ser da estipulação deste prazo prende-se com razões de natureza prática de comercialização da patente. Por diversos </w:t>
      </w:r>
      <w:proofErr w:type="spellStart"/>
      <w:r>
        <w:rPr>
          <w:rFonts w:ascii="Times New Roman" w:hAnsi="Times New Roman"/>
        </w:rPr>
        <w:t>factores</w:t>
      </w:r>
      <w:proofErr w:type="spellEnd"/>
      <w:r>
        <w:rPr>
          <w:rFonts w:ascii="Times New Roman" w:hAnsi="Times New Roman"/>
        </w:rPr>
        <w:t>, como a autorização legal para colocar a patente no mercado</w:t>
      </w:r>
      <w:r>
        <w:rPr>
          <w:rFonts w:ascii="Times New Roman" w:hAnsi="Times New Roman"/>
          <w:vertAlign w:val="superscript"/>
        </w:rPr>
        <w:t xml:space="preserve">, </w:t>
      </w:r>
      <w:r>
        <w:rPr>
          <w:rFonts w:ascii="Times New Roman" w:hAnsi="Times New Roman"/>
        </w:rPr>
        <w:t xml:space="preserve">quer por razões de divulgação da mesma, a patente não fica, desde logo, à disposição para ser comercializada. Por isso, a lei presume que aquele período será suficiente para o </w:t>
      </w:r>
      <w:proofErr w:type="spellStart"/>
      <w:r>
        <w:rPr>
          <w:rFonts w:ascii="Times New Roman" w:hAnsi="Times New Roman"/>
          <w:i/>
          <w:iCs/>
        </w:rPr>
        <w:t>patent</w:t>
      </w:r>
      <w:proofErr w:type="spellEnd"/>
      <w:r>
        <w:rPr>
          <w:rFonts w:ascii="Times New Roman" w:hAnsi="Times New Roman"/>
          <w:i/>
          <w:iCs/>
        </w:rPr>
        <w:t xml:space="preserve"> </w:t>
      </w:r>
      <w:proofErr w:type="spellStart"/>
      <w:r>
        <w:rPr>
          <w:rFonts w:ascii="Times New Roman" w:hAnsi="Times New Roman"/>
          <w:i/>
          <w:iCs/>
        </w:rPr>
        <w:t>owner</w:t>
      </w:r>
      <w:proofErr w:type="spellEnd"/>
      <w:r>
        <w:rPr>
          <w:rFonts w:ascii="Times New Roman" w:hAnsi="Times New Roman"/>
        </w:rPr>
        <w:t xml:space="preserve"> colocar o seu produto no mercado, beneficiando de todos os direitos a ele inerentes.</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Não obstante a ultrapassagem dos prazos para a exploração, o titular da patente poderá defender-se, provando que tem </w:t>
      </w:r>
      <w:r>
        <w:rPr>
          <w:rFonts w:ascii="Times New Roman" w:hAnsi="Times New Roman"/>
          <w:i/>
        </w:rPr>
        <w:t>justos motivos</w:t>
      </w:r>
      <w:r>
        <w:rPr>
          <w:rFonts w:ascii="Times New Roman" w:hAnsi="Times New Roman"/>
        </w:rPr>
        <w:t xml:space="preserve"> para essa não exploração. Estes justos motivos não estão </w:t>
      </w:r>
      <w:proofErr w:type="spellStart"/>
      <w:r>
        <w:rPr>
          <w:rFonts w:ascii="Times New Roman" w:hAnsi="Times New Roman"/>
        </w:rPr>
        <w:t>densificados</w:t>
      </w:r>
      <w:proofErr w:type="spellEnd"/>
      <w:r>
        <w:rPr>
          <w:rFonts w:ascii="Times New Roman" w:hAnsi="Times New Roman"/>
        </w:rPr>
        <w:t xml:space="preserve"> na ordem jurídica internacional e muitos textos legais nacionais têm-no realizado, com algum sucesso.</w:t>
      </w:r>
      <w:r>
        <w:rPr>
          <w:rStyle w:val="Refdenotaderodap"/>
        </w:rPr>
        <w:footnoteReference w:id="14"/>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Para terminar este ponto, convém ainda deixar uma nota para o fato de a CUP e o Acordo </w:t>
      </w:r>
      <w:proofErr w:type="spellStart"/>
      <w:r>
        <w:rPr>
          <w:rFonts w:ascii="Times New Roman" w:hAnsi="Times New Roman"/>
          <w:i/>
        </w:rPr>
        <w:t>Trips</w:t>
      </w:r>
      <w:proofErr w:type="spellEnd"/>
      <w:r>
        <w:rPr>
          <w:rFonts w:ascii="Times New Roman" w:hAnsi="Times New Roman"/>
        </w:rPr>
        <w:t xml:space="preserve"> não prever situações de </w:t>
      </w:r>
      <w:r>
        <w:rPr>
          <w:rFonts w:ascii="Times New Roman" w:hAnsi="Times New Roman"/>
          <w:i/>
          <w:iCs/>
        </w:rPr>
        <w:t>falta de exploração à posteriori</w:t>
      </w:r>
      <w:r>
        <w:rPr>
          <w:rFonts w:ascii="Times New Roman" w:hAnsi="Times New Roman"/>
        </w:rPr>
        <w:t xml:space="preserve">. Casos em que o titular da patente começou por explorar a patente tal como legalmente, mas, a partir de certo momento, deixou de fazê-lo. Contudo, pensamos que, apesar da ausência de previsão legal a nível internacional, a previsão de uma previsão deste tipo é logicamente admissível, nem se necessitando de fazer uma interpretação extensiva do preceito legal, pois situamo-nos ainda no domínio da </w:t>
      </w:r>
      <w:proofErr w:type="spellStart"/>
      <w:r>
        <w:rPr>
          <w:rFonts w:ascii="Times New Roman" w:hAnsi="Times New Roman"/>
        </w:rPr>
        <w:t>interpretação.Assim</w:t>
      </w:r>
      <w:proofErr w:type="spellEnd"/>
      <w:r>
        <w:rPr>
          <w:rFonts w:ascii="Times New Roman" w:hAnsi="Times New Roman"/>
        </w:rPr>
        <w:t xml:space="preserve">, é de aplaudir estipulações como a do direito português, que prevê no seu art.108º, nº 2 do CPI, que se o titular de uma patente pode ser obrigado a conceder uma licença obrigatória se </w:t>
      </w:r>
      <w:r>
        <w:rPr>
          <w:rFonts w:ascii="Times New Roman" w:hAnsi="Times New Roman"/>
          <w:i/>
          <w:iCs/>
        </w:rPr>
        <w:t>“durante três anos e sem justo motivo ou base legal, deixa de fazer a exploração”.</w:t>
      </w:r>
      <w:r>
        <w:rPr>
          <w:rFonts w:ascii="Times New Roman" w:hAnsi="Times New Roman"/>
          <w:iCs/>
        </w:rPr>
        <w:t xml:space="preserve"> Naturalmente, que poderá alegar, da mesma forma, os </w:t>
      </w:r>
      <w:r>
        <w:rPr>
          <w:rFonts w:ascii="Times New Roman" w:hAnsi="Times New Roman"/>
          <w:i/>
          <w:iCs/>
        </w:rPr>
        <w:t>justos motivos</w:t>
      </w:r>
      <w:r>
        <w:rPr>
          <w:rFonts w:ascii="Times New Roman" w:hAnsi="Times New Roman"/>
          <w:iCs/>
        </w:rPr>
        <w:t xml:space="preserve"> para a não exploração.</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Nos termos do direito internacional, poderá ainda haver licenças por motivos de interesse público. Apesar de não haver uma previsão expressa, retira-se de diversas normas. À partida, poderíamos ser levados a crer que este fundamento não está previsto no Acordo </w:t>
      </w:r>
      <w:proofErr w:type="spellStart"/>
      <w:r>
        <w:rPr>
          <w:rFonts w:ascii="Times New Roman" w:hAnsi="Times New Roman"/>
          <w:i/>
        </w:rPr>
        <w:t>Trips</w:t>
      </w:r>
      <w:proofErr w:type="spellEnd"/>
      <w:r>
        <w:rPr>
          <w:rFonts w:ascii="Times New Roman" w:hAnsi="Times New Roman"/>
        </w:rPr>
        <w:t xml:space="preserve">, mas com uma leitura mais atenta encontramo-lo. No art. 8º, nº 1, do Acordo </w:t>
      </w:r>
      <w:proofErr w:type="spellStart"/>
      <w:r>
        <w:rPr>
          <w:rFonts w:ascii="Times New Roman" w:hAnsi="Times New Roman"/>
          <w:i/>
        </w:rPr>
        <w:t>Trips</w:t>
      </w:r>
      <w:proofErr w:type="spellEnd"/>
      <w:r>
        <w:rPr>
          <w:rFonts w:ascii="Times New Roman" w:hAnsi="Times New Roman"/>
        </w:rPr>
        <w:t>, que tem como epígrafe “princípios”, estipula que os Estados membros podem “</w:t>
      </w:r>
      <w:r>
        <w:rPr>
          <w:rFonts w:ascii="Times New Roman" w:hAnsi="Times New Roman"/>
          <w:i/>
        </w:rPr>
        <w:t xml:space="preserve">adoptar </w:t>
      </w:r>
      <w:r>
        <w:rPr>
          <w:rFonts w:ascii="Times New Roman" w:hAnsi="Times New Roman"/>
        </w:rPr>
        <w:t>medidas necessárias para [...] promover o</w:t>
      </w:r>
      <w:r>
        <w:rPr>
          <w:rFonts w:ascii="Times New Roman" w:hAnsi="Times New Roman"/>
          <w:i/>
        </w:rPr>
        <w:t xml:space="preserve"> interesse público” </w:t>
      </w:r>
      <w:r>
        <w:rPr>
          <w:rFonts w:ascii="Times New Roman" w:hAnsi="Times New Roman"/>
        </w:rPr>
        <w:t xml:space="preserve">(grifo nosso). No nº 2 do mesmo artigo, apesar de não referir expressamente a palavra </w:t>
      </w:r>
      <w:proofErr w:type="spellStart"/>
      <w:r>
        <w:rPr>
          <w:rFonts w:ascii="Times New Roman" w:hAnsi="Times New Roman"/>
          <w:i/>
        </w:rPr>
        <w:t>public</w:t>
      </w:r>
      <w:proofErr w:type="spellEnd"/>
      <w:r>
        <w:rPr>
          <w:rFonts w:ascii="Times New Roman" w:hAnsi="Times New Roman"/>
          <w:i/>
        </w:rPr>
        <w:t xml:space="preserve"> </w:t>
      </w:r>
      <w:proofErr w:type="spellStart"/>
      <w:r>
        <w:rPr>
          <w:rFonts w:ascii="Times New Roman" w:hAnsi="Times New Roman"/>
          <w:i/>
        </w:rPr>
        <w:t>interest</w:t>
      </w:r>
      <w:proofErr w:type="spellEnd"/>
      <w:r>
        <w:rPr>
          <w:rFonts w:ascii="Times New Roman" w:hAnsi="Times New Roman"/>
        </w:rPr>
        <w:t xml:space="preserve">, o texto legal faz referência a fundamentos que cabem no âmbito do mesmo. Este número afirma que poderão ser adotadas medidas com o fim de impedir, entre outras coisas, o “recurso a práticas que restrinjam de forma não razoável o comércio ou que prejudiquem a transferência internacional de tecnologia”. Estas medidas, acrescenta este número, devem ser compatíveis com o Acordo </w:t>
      </w:r>
      <w:proofErr w:type="spellStart"/>
      <w:r>
        <w:rPr>
          <w:rFonts w:ascii="Times New Roman" w:hAnsi="Times New Roman"/>
          <w:i/>
        </w:rPr>
        <w:t>Trips</w:t>
      </w:r>
      <w:proofErr w:type="spellEnd"/>
      <w:r>
        <w:rPr>
          <w:rFonts w:ascii="Times New Roman" w:hAnsi="Times New Roman"/>
        </w:rPr>
        <w:t>.</w:t>
      </w:r>
      <w:r>
        <w:rPr>
          <w:rStyle w:val="Refdenotaderodap"/>
        </w:rPr>
        <w:footnoteReference w:id="15"/>
      </w:r>
      <w:r>
        <w:rPr>
          <w:rFonts w:ascii="Times New Roman" w:hAnsi="Times New Roman"/>
        </w:rPr>
        <w:t xml:space="preserve"> Outro </w:t>
      </w:r>
      <w:r>
        <w:rPr>
          <w:rFonts w:ascii="Times New Roman" w:hAnsi="Times New Roman"/>
        </w:rPr>
        <w:lastRenderedPageBreak/>
        <w:t xml:space="preserve">argumento para aceitarmos que o Acordo </w:t>
      </w:r>
      <w:proofErr w:type="spellStart"/>
      <w:r>
        <w:rPr>
          <w:rFonts w:ascii="Times New Roman" w:hAnsi="Times New Roman"/>
          <w:i/>
        </w:rPr>
        <w:t>Trips</w:t>
      </w:r>
      <w:proofErr w:type="spellEnd"/>
      <w:r>
        <w:rPr>
          <w:rFonts w:ascii="Times New Roman" w:hAnsi="Times New Roman"/>
          <w:i/>
        </w:rPr>
        <w:t xml:space="preserve"> </w:t>
      </w:r>
      <w:r>
        <w:rPr>
          <w:rFonts w:ascii="Times New Roman" w:hAnsi="Times New Roman"/>
        </w:rPr>
        <w:t xml:space="preserve">prevê a existência de licenças compulsórias por motivos de interesse público está no art. 31º, b). Referindo-se ao requisito geral para a concessão de licenças compulsórias obriga o requerente dessa mesma licença a tentar obter uma licença contratual antes de proceder ao pedido, mencionando que, em </w:t>
      </w:r>
      <w:r>
        <w:rPr>
          <w:rFonts w:ascii="Times New Roman" w:hAnsi="Times New Roman"/>
          <w:i/>
        </w:rPr>
        <w:t>situação de extrema urgência</w:t>
      </w:r>
      <w:r>
        <w:rPr>
          <w:rFonts w:ascii="Times New Roman" w:hAnsi="Times New Roman"/>
        </w:rPr>
        <w:t>, essa exigência legal pode ser preterida. Em nossa opinião, situações</w:t>
      </w:r>
      <w:r>
        <w:rPr>
          <w:rFonts w:ascii="Times New Roman" w:hAnsi="Times New Roman"/>
          <w:i/>
        </w:rPr>
        <w:t xml:space="preserve"> de extrema urgência</w:t>
      </w:r>
      <w:r>
        <w:rPr>
          <w:rFonts w:ascii="Times New Roman" w:hAnsi="Times New Roman"/>
        </w:rPr>
        <w:t xml:space="preserve"> estarão relacionadas, inevitavelmente, com situações de interesse público. Por último, temos ainda o art.5ªA, nº 2 da CUP, que admite a concessão de licenças compulsórias em geral, sem determinar quais os seus fundamentos, dando unicamente um fundamento exemplificativo, sendo esse a </w:t>
      </w:r>
      <w:r>
        <w:rPr>
          <w:rFonts w:ascii="Times New Roman" w:hAnsi="Times New Roman"/>
          <w:i/>
        </w:rPr>
        <w:t>falta de exploração</w:t>
      </w:r>
      <w:r>
        <w:rPr>
          <w:rFonts w:ascii="Times New Roman" w:hAnsi="Times New Roman"/>
        </w:rPr>
        <w:t>.</w:t>
      </w:r>
    </w:p>
    <w:p w:rsidR="00374B8E" w:rsidRPr="00462C4A" w:rsidRDefault="00374B8E" w:rsidP="00374B8E">
      <w:pPr>
        <w:spacing w:before="120" w:after="120"/>
        <w:ind w:firstLine="708"/>
        <w:jc w:val="both"/>
        <w:rPr>
          <w:rFonts w:ascii="Times New Roman" w:hAnsi="Times New Roman"/>
        </w:rPr>
      </w:pPr>
      <w:r>
        <w:rPr>
          <w:rFonts w:ascii="Times New Roman" w:hAnsi="Times New Roman"/>
        </w:rPr>
        <w:t xml:space="preserve">Nenhum destes textos legais define o que entende por interesse público. Essa tarefa foi deixada às legislações nacionais ou mesmo à jurisprudência quando estas não definem este conceito indeterminado, como é o caso no direito </w:t>
      </w:r>
      <w:r w:rsidRPr="00462C4A">
        <w:rPr>
          <w:rFonts w:ascii="Times New Roman" w:hAnsi="Times New Roman"/>
        </w:rPr>
        <w:t xml:space="preserve">alemão (Cf. </w:t>
      </w:r>
      <w:r w:rsidRPr="00462C4A">
        <w:rPr>
          <w:rFonts w:ascii="Garamond" w:hAnsi="Garamond"/>
          <w:lang w:val="pt-PT"/>
        </w:rPr>
        <w:t xml:space="preserve">Art. § 24, (1), nº 1 da § PatG).  </w:t>
      </w:r>
      <w:r w:rsidRPr="00462C4A">
        <w:rPr>
          <w:rFonts w:ascii="Times New Roman" w:hAnsi="Times New Roman"/>
          <w:lang w:val="pt-PT"/>
        </w:rPr>
        <w:t>Obviamente que o alcance do interesse público estará relacionado com a sua denfisificação legal ou doutrinal. No caso português, o CPI liga o interesse público à protecção da defesa nacional, saúde pública e ao desenvolvimento económico e tecnológico do país (cfr. art. 110º, nº 2 e 3).</w:t>
      </w:r>
      <w:r w:rsidRPr="00462C4A">
        <w:rPr>
          <w:rFonts w:ascii="Times New Roman" w:hAnsi="Times New Roman"/>
        </w:rPr>
        <w:tab/>
      </w:r>
    </w:p>
    <w:p w:rsidR="00374B8E" w:rsidRDefault="00374B8E" w:rsidP="00374B8E">
      <w:pPr>
        <w:tabs>
          <w:tab w:val="left" w:pos="0"/>
        </w:tabs>
        <w:spacing w:before="120" w:after="120"/>
        <w:jc w:val="both"/>
        <w:rPr>
          <w:rFonts w:ascii="Times New Roman" w:hAnsi="Times New Roman"/>
        </w:rPr>
      </w:pPr>
      <w:r w:rsidRPr="00462C4A">
        <w:rPr>
          <w:rFonts w:ascii="Times New Roman" w:hAnsi="Times New Roman"/>
        </w:rPr>
        <w:tab/>
        <w:t xml:space="preserve">No art. 31º, l, do Acordo </w:t>
      </w:r>
      <w:proofErr w:type="spellStart"/>
      <w:r w:rsidRPr="00462C4A">
        <w:rPr>
          <w:rFonts w:ascii="Times New Roman" w:hAnsi="Times New Roman"/>
          <w:i/>
        </w:rPr>
        <w:t>Trips</w:t>
      </w:r>
      <w:proofErr w:type="spellEnd"/>
      <w:r w:rsidRPr="00462C4A">
        <w:rPr>
          <w:rFonts w:ascii="Times New Roman" w:hAnsi="Times New Roman"/>
          <w:i/>
        </w:rPr>
        <w:t>,</w:t>
      </w:r>
      <w:r>
        <w:rPr>
          <w:rFonts w:ascii="Times New Roman" w:hAnsi="Times New Roman"/>
          <w:i/>
        </w:rPr>
        <w:t xml:space="preserve"> </w:t>
      </w:r>
      <w:r w:rsidRPr="00462C4A">
        <w:rPr>
          <w:rFonts w:ascii="Times New Roman" w:hAnsi="Times New Roman"/>
        </w:rPr>
        <w:t>encontra-se prevista</w:t>
      </w:r>
      <w:r>
        <w:rPr>
          <w:rFonts w:ascii="Times New Roman" w:hAnsi="Times New Roman"/>
        </w:rPr>
        <w:t xml:space="preserve"> a concessão de licenças compulsórias para a dependência entre patentes, estipulando que uma licença por dependência deve ser concedida se a invenção reivindicada envolver um</w:t>
      </w:r>
      <w:r>
        <w:rPr>
          <w:rFonts w:ascii="Times New Roman" w:hAnsi="Times New Roman"/>
          <w:i/>
        </w:rPr>
        <w:t xml:space="preserve"> importante progresso técnico</w:t>
      </w:r>
      <w:r>
        <w:rPr>
          <w:rFonts w:ascii="Times New Roman" w:hAnsi="Times New Roman"/>
        </w:rPr>
        <w:t xml:space="preserve"> que tenha </w:t>
      </w:r>
      <w:r>
        <w:rPr>
          <w:rFonts w:ascii="Times New Roman" w:hAnsi="Times New Roman"/>
          <w:i/>
        </w:rPr>
        <w:t>significado econômico considerável</w:t>
      </w:r>
      <w:r>
        <w:rPr>
          <w:rFonts w:ascii="Times New Roman" w:hAnsi="Times New Roman"/>
        </w:rPr>
        <w:t xml:space="preserve"> em relação à patente dominante</w:t>
      </w:r>
      <w:r>
        <w:rPr>
          <w:rStyle w:val="Refdenotaderodap"/>
        </w:rPr>
        <w:footnoteReference w:id="16"/>
      </w:r>
      <w:r>
        <w:rPr>
          <w:rFonts w:ascii="Times New Roman" w:hAnsi="Times New Roman"/>
        </w:rPr>
        <w:t xml:space="preserve"> (art. 31º, l), i). Este </w:t>
      </w:r>
      <w:r>
        <w:rPr>
          <w:rFonts w:ascii="Times New Roman" w:hAnsi="Times New Roman"/>
          <w:i/>
        </w:rPr>
        <w:t>importante progresso técnico</w:t>
      </w:r>
      <w:r>
        <w:rPr>
          <w:rFonts w:ascii="Times New Roman" w:hAnsi="Times New Roman"/>
        </w:rPr>
        <w:t xml:space="preserve"> terá que ter em conta, naturalmente, a patente dominante. Contudo, é necessário mencionar que se afigura uma tarefa complicada para um juiz desbravar este conceito indeterminado, devido à excessiva tecnicidade deste critério. (</w:t>
      </w:r>
      <w:r>
        <w:t>BARROS,</w:t>
      </w:r>
      <w:r>
        <w:rPr>
          <w:lang w:val="pt-PT"/>
        </w:rPr>
        <w:t xml:space="preserve"> 2004).</w:t>
      </w:r>
    </w:p>
    <w:p w:rsidR="00374B8E" w:rsidRDefault="00374B8E" w:rsidP="00374B8E">
      <w:pPr>
        <w:tabs>
          <w:tab w:val="left" w:pos="0"/>
        </w:tabs>
        <w:spacing w:before="120" w:after="120"/>
        <w:jc w:val="both"/>
        <w:rPr>
          <w:rFonts w:ascii="Times New Roman" w:hAnsi="Times New Roman"/>
        </w:rPr>
      </w:pPr>
      <w:r>
        <w:rPr>
          <w:rFonts w:ascii="Times New Roman" w:hAnsi="Times New Roman"/>
        </w:rPr>
        <w:tab/>
        <w:t xml:space="preserve">O Acordo </w:t>
      </w:r>
      <w:proofErr w:type="spellStart"/>
      <w:r>
        <w:rPr>
          <w:rFonts w:ascii="Times New Roman" w:hAnsi="Times New Roman"/>
          <w:i/>
        </w:rPr>
        <w:t>Trips</w:t>
      </w:r>
      <w:proofErr w:type="spellEnd"/>
      <w:r>
        <w:rPr>
          <w:rFonts w:ascii="Times New Roman" w:hAnsi="Times New Roman"/>
        </w:rPr>
        <w:t xml:space="preserve"> estabelece ainda que o titular da patente dominante terá o direito à chamada licença cruzada em </w:t>
      </w:r>
      <w:r>
        <w:rPr>
          <w:rFonts w:ascii="Times New Roman" w:hAnsi="Times New Roman"/>
          <w:i/>
        </w:rPr>
        <w:t xml:space="preserve">condições </w:t>
      </w:r>
      <w:proofErr w:type="gramStart"/>
      <w:r>
        <w:rPr>
          <w:rFonts w:ascii="Times New Roman" w:hAnsi="Times New Roman"/>
          <w:i/>
        </w:rPr>
        <w:t>razoáveis(</w:t>
      </w:r>
      <w:proofErr w:type="spellStart"/>
      <w:proofErr w:type="gramEnd"/>
      <w:r>
        <w:rPr>
          <w:rFonts w:ascii="Times New Roman" w:hAnsi="Times New Roman"/>
          <w:i/>
        </w:rPr>
        <w:t>cross</w:t>
      </w:r>
      <w:proofErr w:type="spellEnd"/>
      <w:r>
        <w:rPr>
          <w:rFonts w:ascii="Times New Roman" w:hAnsi="Times New Roman"/>
          <w:i/>
        </w:rPr>
        <w:t xml:space="preserve"> </w:t>
      </w:r>
      <w:proofErr w:type="spellStart"/>
      <w:r>
        <w:rPr>
          <w:rFonts w:ascii="Times New Roman" w:hAnsi="Times New Roman"/>
          <w:i/>
        </w:rPr>
        <w:t>license</w:t>
      </w:r>
      <w:proofErr w:type="spellEnd"/>
      <w:r>
        <w:rPr>
          <w:rFonts w:ascii="Times New Roman" w:hAnsi="Times New Roman"/>
        </w:rPr>
        <w:t xml:space="preserve">) de modo a que possa utilizar a chamada </w:t>
      </w:r>
      <w:r>
        <w:rPr>
          <w:rFonts w:ascii="Times New Roman" w:hAnsi="Times New Roman"/>
          <w:i/>
        </w:rPr>
        <w:t>segunda patente</w:t>
      </w:r>
      <w:r>
        <w:rPr>
          <w:rFonts w:ascii="Times New Roman" w:hAnsi="Times New Roman"/>
        </w:rPr>
        <w:t xml:space="preserve">. Quais serão estas condições razoáveis? Embora o Acordo </w:t>
      </w:r>
      <w:proofErr w:type="spellStart"/>
      <w:r>
        <w:rPr>
          <w:rFonts w:ascii="Times New Roman" w:hAnsi="Times New Roman"/>
          <w:i/>
        </w:rPr>
        <w:t>Trips</w:t>
      </w:r>
      <w:proofErr w:type="spellEnd"/>
      <w:r>
        <w:rPr>
          <w:rFonts w:ascii="Times New Roman" w:hAnsi="Times New Roman"/>
        </w:rPr>
        <w:t xml:space="preserve"> não nos mencione um critério, somos da opinião que, logicamente, estas condições razoáveis terão que ter em conta as condições estipuladas para as licenças compulsórias em geral.</w:t>
      </w:r>
      <w:r>
        <w:rPr>
          <w:rStyle w:val="Refdenotaderodap"/>
        </w:rPr>
        <w:footnoteReference w:id="17"/>
      </w:r>
      <w:r>
        <w:rPr>
          <w:rFonts w:ascii="Times New Roman" w:hAnsi="Times New Roman"/>
        </w:rPr>
        <w:t xml:space="preserve"> Não faria sentido se existisse uma solução diferente.</w:t>
      </w:r>
    </w:p>
    <w:p w:rsidR="00374B8E" w:rsidRDefault="00374B8E" w:rsidP="00374B8E">
      <w:pPr>
        <w:tabs>
          <w:tab w:val="left" w:pos="0"/>
        </w:tabs>
        <w:spacing w:before="120" w:after="120"/>
        <w:jc w:val="both"/>
        <w:rPr>
          <w:rFonts w:ascii="Times New Roman" w:hAnsi="Times New Roman"/>
        </w:rPr>
      </w:pPr>
      <w:r>
        <w:rPr>
          <w:rFonts w:ascii="Times New Roman" w:hAnsi="Times New Roman"/>
        </w:rPr>
        <w:tab/>
        <w:t>Por último, é estabelecido ainda que a utilização autorizada em relação à patente dominante não poderá ser objeto de cessão, excepcionando-se o caso de esta ser cedida com a segunda patente.</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Por último, no Acordo </w:t>
      </w:r>
      <w:proofErr w:type="spellStart"/>
      <w:r>
        <w:rPr>
          <w:rFonts w:ascii="Times New Roman" w:hAnsi="Times New Roman"/>
          <w:i/>
        </w:rPr>
        <w:t>Trips</w:t>
      </w:r>
      <w:proofErr w:type="spellEnd"/>
      <w:r>
        <w:rPr>
          <w:rFonts w:ascii="Times New Roman" w:hAnsi="Times New Roman"/>
          <w:i/>
        </w:rPr>
        <w:t xml:space="preserve"> </w:t>
      </w:r>
      <w:r>
        <w:rPr>
          <w:rFonts w:ascii="Times New Roman" w:hAnsi="Times New Roman"/>
        </w:rPr>
        <w:t xml:space="preserve">está previsto a concessão de licenças compulsórias como combate a práticas </w:t>
      </w:r>
      <w:proofErr w:type="spellStart"/>
      <w:r>
        <w:rPr>
          <w:rFonts w:ascii="Times New Roman" w:hAnsi="Times New Roman"/>
        </w:rPr>
        <w:t>anticoncorrenciais</w:t>
      </w:r>
      <w:proofErr w:type="spellEnd"/>
      <w:r>
        <w:rPr>
          <w:rFonts w:ascii="Times New Roman" w:hAnsi="Times New Roman"/>
        </w:rPr>
        <w:t>. Este fundamento está previsto implicitamente, pois, o seu art. 31º, k)</w:t>
      </w:r>
      <w:r>
        <w:rPr>
          <w:rStyle w:val="Refdenotaderodap"/>
        </w:rPr>
        <w:footnoteReference w:id="18"/>
      </w:r>
      <w:r>
        <w:rPr>
          <w:rFonts w:ascii="Times New Roman" w:hAnsi="Times New Roman"/>
        </w:rPr>
        <w:t xml:space="preserve"> menciona que os Estados membros “não são obrigados a aplicar as condições previstas nas alíneas b) e f) no caso de a referida utilização ser autorizada para corrigir uma prática considerada </w:t>
      </w:r>
      <w:proofErr w:type="spellStart"/>
      <w:r>
        <w:rPr>
          <w:rFonts w:ascii="Times New Roman" w:hAnsi="Times New Roman"/>
        </w:rPr>
        <w:t>anticoncorrencial</w:t>
      </w:r>
      <w:proofErr w:type="spellEnd"/>
      <w:r>
        <w:rPr>
          <w:rFonts w:ascii="Times New Roman" w:hAnsi="Times New Roman"/>
        </w:rPr>
        <w:t xml:space="preserve"> na sequência de um processo judicial ou administrativo”.</w:t>
      </w:r>
    </w:p>
    <w:p w:rsidR="00374B8E" w:rsidRDefault="00374B8E" w:rsidP="00374B8E">
      <w:pPr>
        <w:spacing w:before="120" w:after="120"/>
        <w:jc w:val="both"/>
        <w:rPr>
          <w:rFonts w:ascii="Times New Roman" w:hAnsi="Times New Roman"/>
        </w:rPr>
      </w:pPr>
      <w:r>
        <w:rPr>
          <w:rFonts w:ascii="Times New Roman" w:hAnsi="Times New Roman"/>
        </w:rPr>
        <w:tab/>
        <w:t xml:space="preserve">Esta menção à existência de licenças compulsórias para combater práticas </w:t>
      </w:r>
      <w:proofErr w:type="spellStart"/>
      <w:r>
        <w:rPr>
          <w:rFonts w:ascii="Times New Roman" w:hAnsi="Times New Roman"/>
        </w:rPr>
        <w:t>anticoncorrencias</w:t>
      </w:r>
      <w:proofErr w:type="spellEnd"/>
      <w:r>
        <w:rPr>
          <w:rFonts w:ascii="Times New Roman" w:hAnsi="Times New Roman"/>
        </w:rPr>
        <w:t xml:space="preserve"> advém de uma técnica legislativa duvidosa, em que é estipulado este fundamento não para classificá-lo como uma modalidade específica, mas sim para ressalvar que algumas das condições previstas das alíneas anteriores poderão não ser aplicadas pelos </w:t>
      </w:r>
      <w:r>
        <w:rPr>
          <w:rFonts w:ascii="Times New Roman" w:hAnsi="Times New Roman"/>
        </w:rPr>
        <w:lastRenderedPageBreak/>
        <w:t xml:space="preserve">Estados Membros. Estas ressalvas dizem respeito, precisamente, à prévia tentativa de obter uma licença contratual, e à utilização da licença compulsórias tendo como objetivo a sua utilização predominantemente para o fornecimento do mercado interno. Neste tipo de licenças compulsórias, o </w:t>
      </w:r>
      <w:proofErr w:type="spellStart"/>
      <w:r>
        <w:rPr>
          <w:rFonts w:ascii="Times New Roman" w:hAnsi="Times New Roman"/>
          <w:i/>
        </w:rPr>
        <w:t>Trips</w:t>
      </w:r>
      <w:proofErr w:type="spellEnd"/>
      <w:r>
        <w:rPr>
          <w:rFonts w:ascii="Times New Roman" w:hAnsi="Times New Roman"/>
        </w:rPr>
        <w:t xml:space="preserve"> não obriga os Estados Membros a aplicá-los, mas também não os proíbe.   </w:t>
      </w:r>
    </w:p>
    <w:p w:rsidR="00374B8E" w:rsidRDefault="00374B8E" w:rsidP="00374B8E">
      <w:pPr>
        <w:spacing w:before="120" w:after="120"/>
        <w:jc w:val="both"/>
        <w:rPr>
          <w:rFonts w:ascii="Times New Roman" w:hAnsi="Times New Roman"/>
        </w:rPr>
      </w:pPr>
      <w:r>
        <w:rPr>
          <w:rFonts w:ascii="Times New Roman" w:hAnsi="Times New Roman"/>
        </w:rPr>
        <w:tab/>
        <w:t xml:space="preserve">Outra particularidade diz respeito à remuneração. Na 2º parte da alínea k) do art. 31º. refere que, quando estejamos perante práticas </w:t>
      </w:r>
      <w:proofErr w:type="spellStart"/>
      <w:r>
        <w:rPr>
          <w:rFonts w:ascii="Times New Roman" w:hAnsi="Times New Roman"/>
        </w:rPr>
        <w:t>anticoncorrenciais</w:t>
      </w:r>
      <w:proofErr w:type="spellEnd"/>
      <w:r>
        <w:rPr>
          <w:rFonts w:ascii="Times New Roman" w:hAnsi="Times New Roman"/>
        </w:rPr>
        <w:t xml:space="preserve">, a remuneração deve ser vista de uma forma </w:t>
      </w:r>
      <w:r>
        <w:rPr>
          <w:rFonts w:ascii="Times New Roman" w:hAnsi="Times New Roman"/>
          <w:i/>
        </w:rPr>
        <w:t>sui generis</w:t>
      </w:r>
      <w:r>
        <w:rPr>
          <w:rFonts w:ascii="Times New Roman" w:hAnsi="Times New Roman"/>
        </w:rPr>
        <w:t xml:space="preserve">, não estando amarrada aos critérios estabelecidos da alínea h) do art. 31º, que exige que a remuneração tenha sempre em conta o caso concreto e o </w:t>
      </w:r>
      <w:r>
        <w:rPr>
          <w:rFonts w:ascii="Times New Roman" w:hAnsi="Times New Roman"/>
          <w:i/>
        </w:rPr>
        <w:t>valor econômico da autorização</w:t>
      </w:r>
      <w:r>
        <w:rPr>
          <w:rFonts w:ascii="Times New Roman" w:hAnsi="Times New Roman"/>
        </w:rPr>
        <w:t xml:space="preserve">. Assim, este tipo de licença compulsória está sujeito a um tratamento especial em relação às outras. Qual será o motivo deste tratamento especial? Pensamos que se relaciona com os fins próprios deste tipo de licenças. Obviamente, quando a prática concorrencial consiste num abuso de um direito que está a prejudicar diretamente outro agente de mercado, seria um pouco injusto que se procedesse a uma remuneração com base em todo o valor econômico da licença. Se estivermos a sancionar um agente de mercado, que, por exemplo, abusa da posição que detém, a remuneração não poderá ser tão elevada, como quando estamos num caso de licenças compulsórias por interesse público, falta de exploração ou dependência de patentes. Nestes últimos casos há abuso, mas não necessariamente um ato </w:t>
      </w:r>
      <w:proofErr w:type="spellStart"/>
      <w:r>
        <w:rPr>
          <w:rFonts w:ascii="Times New Roman" w:hAnsi="Times New Roman"/>
        </w:rPr>
        <w:t>ilítico</w:t>
      </w:r>
      <w:proofErr w:type="spellEnd"/>
      <w:r>
        <w:rPr>
          <w:rFonts w:ascii="Times New Roman" w:hAnsi="Times New Roman"/>
        </w:rPr>
        <w:t xml:space="preserve"> que prejudica outro concorrente de mercado. O </w:t>
      </w:r>
      <w:proofErr w:type="spellStart"/>
      <w:r>
        <w:rPr>
          <w:rFonts w:ascii="Times New Roman" w:hAnsi="Times New Roman"/>
        </w:rPr>
        <w:t>desvalor</w:t>
      </w:r>
      <w:proofErr w:type="spellEnd"/>
      <w:r>
        <w:rPr>
          <w:rFonts w:ascii="Times New Roman" w:hAnsi="Times New Roman"/>
        </w:rPr>
        <w:t xml:space="preserve"> jurídico nas práticas </w:t>
      </w:r>
      <w:proofErr w:type="spellStart"/>
      <w:r>
        <w:rPr>
          <w:rFonts w:ascii="Times New Roman" w:hAnsi="Times New Roman"/>
        </w:rPr>
        <w:t>anticoncorrenciais</w:t>
      </w:r>
      <w:proofErr w:type="spellEnd"/>
      <w:r>
        <w:rPr>
          <w:rFonts w:ascii="Times New Roman" w:hAnsi="Times New Roman"/>
        </w:rPr>
        <w:t xml:space="preserve"> é mais elevado. </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Apesar de alguns países membros da OMC, como Portugal, que não têm uma disposição prevendo licenças compulsórias como remédio para práticas </w:t>
      </w:r>
      <w:proofErr w:type="spellStart"/>
      <w:r>
        <w:rPr>
          <w:rFonts w:ascii="Times New Roman" w:hAnsi="Times New Roman"/>
        </w:rPr>
        <w:t>anticompetitivas</w:t>
      </w:r>
      <w:proofErr w:type="spellEnd"/>
      <w:r>
        <w:rPr>
          <w:rFonts w:ascii="Times New Roman" w:hAnsi="Times New Roman"/>
        </w:rPr>
        <w:t>, o que é fato é que estas tem tido grande notoriedade, principalmente, por razões óbvias, nos países desenvolvidos.</w:t>
      </w:r>
    </w:p>
    <w:p w:rsidR="00374B8E" w:rsidRPr="00462C4A" w:rsidRDefault="00374B8E" w:rsidP="00374B8E">
      <w:pPr>
        <w:spacing w:before="120" w:after="120"/>
        <w:jc w:val="both"/>
        <w:rPr>
          <w:rFonts w:ascii="Times New Roman" w:hAnsi="Times New Roman"/>
        </w:rPr>
      </w:pPr>
      <w:r>
        <w:rPr>
          <w:rFonts w:ascii="Times New Roman" w:hAnsi="Times New Roman"/>
        </w:rPr>
        <w:tab/>
        <w:t xml:space="preserve">Estamos perante </w:t>
      </w:r>
      <w:r w:rsidRPr="00462C4A">
        <w:rPr>
          <w:rFonts w:ascii="Times New Roman" w:hAnsi="Times New Roman"/>
        </w:rPr>
        <w:t>valores antagônicos, enquanto o direito industrial promove a inovação e a invenção o direito da concorrência tem como objetivo, a concorrência sã e possível entre os agentes de mercado. (YOSICK, 2001). Além do mais, o direito industrial promove um monopólio, embora limitado no tempo, enquanto o direito da concorrência visa evitar monopólios. (CARVALHO, 2002).</w:t>
      </w:r>
    </w:p>
    <w:p w:rsidR="00374B8E" w:rsidRDefault="00374B8E" w:rsidP="00374B8E">
      <w:pPr>
        <w:spacing w:before="120" w:after="120"/>
        <w:jc w:val="both"/>
        <w:rPr>
          <w:rFonts w:ascii="Times New Roman" w:hAnsi="Times New Roman"/>
        </w:rPr>
      </w:pPr>
      <w:r w:rsidRPr="00462C4A">
        <w:rPr>
          <w:rFonts w:ascii="Times New Roman" w:hAnsi="Times New Roman"/>
        </w:rPr>
        <w:tab/>
        <w:t xml:space="preserve">Como </w:t>
      </w:r>
      <w:proofErr w:type="spellStart"/>
      <w:r w:rsidRPr="00462C4A">
        <w:rPr>
          <w:rFonts w:ascii="Times New Roman" w:hAnsi="Times New Roman"/>
        </w:rPr>
        <w:t>Yosick</w:t>
      </w:r>
      <w:proofErr w:type="spellEnd"/>
      <w:r w:rsidRPr="00462C4A">
        <w:rPr>
          <w:rFonts w:ascii="Times New Roman" w:hAnsi="Times New Roman"/>
        </w:rPr>
        <w:t xml:space="preserve"> (2001) refere, apesar das dificuldades dos tribunais para reconciliar estes dois ramos de direito, duas ideias têm sido veiculadas. Por um lado, entende-se que os titulares de um direito de patente têm o direito de rejeitar a venda ou o licenciamento das suas invenções. Por outro, os titulares de direito de patente não estão imunes a ser responsabilizados por práticas </w:t>
      </w:r>
      <w:proofErr w:type="spellStart"/>
      <w:r w:rsidRPr="00462C4A">
        <w:rPr>
          <w:rFonts w:ascii="Times New Roman" w:hAnsi="Times New Roman"/>
        </w:rPr>
        <w:t>anticoncorrenciais</w:t>
      </w:r>
      <w:proofErr w:type="spellEnd"/>
      <w:r w:rsidRPr="00462C4A">
        <w:rPr>
          <w:rFonts w:ascii="Times New Roman" w:hAnsi="Times New Roman"/>
        </w:rPr>
        <w:t>.</w:t>
      </w:r>
      <w:r w:rsidRPr="00462C4A">
        <w:rPr>
          <w:rStyle w:val="Refdenotaderodap"/>
        </w:rPr>
        <w:footnoteReference w:id="19"/>
      </w:r>
      <w:r>
        <w:rPr>
          <w:rFonts w:ascii="Times New Roman" w:hAnsi="Times New Roman"/>
        </w:rPr>
        <w:t xml:space="preserve"> </w:t>
      </w:r>
      <w:r w:rsidRPr="00462C4A">
        <w:rPr>
          <w:rFonts w:ascii="Times New Roman" w:hAnsi="Times New Roman"/>
        </w:rPr>
        <w:t>(CARVALHO, 2002).</w:t>
      </w:r>
    </w:p>
    <w:p w:rsidR="00374B8E" w:rsidRPr="00190857" w:rsidRDefault="00374B8E" w:rsidP="00374B8E">
      <w:pPr>
        <w:pStyle w:val="Textodenotaderodap"/>
        <w:spacing w:before="120" w:after="120"/>
        <w:ind w:firstLine="708"/>
        <w:jc w:val="both"/>
        <w:rPr>
          <w:rFonts w:ascii="Times New Roman" w:hAnsi="Times New Roman"/>
          <w:sz w:val="24"/>
        </w:rPr>
      </w:pPr>
      <w:r>
        <w:rPr>
          <w:rFonts w:ascii="Times New Roman" w:hAnsi="Times New Roman"/>
          <w:sz w:val="24"/>
        </w:rPr>
        <w:t xml:space="preserve">Os Estados Unidos, embora não tendo expressamente previsto um regime de licenças compulsórias, é o país que mais tem sentido necessidade de utilizar este instituto para sancionar práticas anticoncorrencias, nomeadamente, tendo como base legal o </w:t>
      </w:r>
      <w:r>
        <w:rPr>
          <w:rFonts w:ascii="Times New Roman" w:hAnsi="Times New Roman"/>
          <w:i/>
          <w:sz w:val="24"/>
        </w:rPr>
        <w:t>Sherman Act</w:t>
      </w:r>
      <w:r>
        <w:rPr>
          <w:rFonts w:ascii="Times New Roman" w:hAnsi="Times New Roman"/>
          <w:sz w:val="24"/>
        </w:rPr>
        <w:t xml:space="preserve">. Não é de admirar, pois foram os primeiros impulsionadores do direito da concorrência. Contudo, têm sido sentidas algumas dificuldades em articular este dois ramos de direito, ou não estivéssemos no país que mais defende de uma forma agressiva o direito da concorrência e o direito da propriedade industrial. De forma a ultrapassar esta questão, têm sido erigidas algumas idéias de </w:t>
      </w:r>
      <w:r w:rsidRPr="00462C4A">
        <w:rPr>
          <w:rFonts w:ascii="Times New Roman" w:hAnsi="Times New Roman"/>
          <w:sz w:val="24"/>
        </w:rPr>
        <w:lastRenderedPageBreak/>
        <w:t>consenso de modo a articular este dois ramos de direito. Entende-se que estes partilham o mesmo propósito, que é o de promover a inovação e reforçar o bem estar do consumidor. (ROFFE, 2008).</w:t>
      </w:r>
    </w:p>
    <w:p w:rsidR="00374B8E" w:rsidRPr="00190857" w:rsidRDefault="00374B8E" w:rsidP="00374B8E">
      <w:pPr>
        <w:spacing w:before="120" w:after="120"/>
        <w:jc w:val="both"/>
        <w:rPr>
          <w:rFonts w:ascii="Times New Roman" w:hAnsi="Times New Roman"/>
          <w:b/>
        </w:rPr>
      </w:pPr>
      <w:r>
        <w:rPr>
          <w:rFonts w:ascii="Times New Roman" w:hAnsi="Times New Roman"/>
          <w:b/>
        </w:rPr>
        <w:t>4 A TENTATIVA DE OBTENÇÃO DE UMA LICENÇA CONTRATUAL</w:t>
      </w:r>
    </w:p>
    <w:p w:rsidR="00374B8E" w:rsidRDefault="00374B8E" w:rsidP="00374B8E">
      <w:pPr>
        <w:spacing w:before="120" w:after="120"/>
        <w:jc w:val="both"/>
        <w:rPr>
          <w:rFonts w:ascii="Times New Roman" w:hAnsi="Times New Roman"/>
        </w:rPr>
      </w:pPr>
      <w:r>
        <w:rPr>
          <w:rFonts w:ascii="Times New Roman" w:hAnsi="Times New Roman"/>
        </w:rPr>
        <w:tab/>
        <w:t xml:space="preserve">Este requisito está presente no art. 31º, b) do Acordo </w:t>
      </w:r>
      <w:proofErr w:type="spellStart"/>
      <w:r>
        <w:rPr>
          <w:rFonts w:ascii="Times New Roman" w:hAnsi="Times New Roman"/>
          <w:i/>
        </w:rPr>
        <w:t>Trips</w:t>
      </w:r>
      <w:proofErr w:type="spellEnd"/>
      <w:r>
        <w:rPr>
          <w:rFonts w:ascii="Times New Roman" w:hAnsi="Times New Roman"/>
        </w:rPr>
        <w:t xml:space="preserve">. O que devemos notar é que ele não se contenta simplesmente com uma tentativa de obtenção de uma licença voluntária pelo titular, exige sim, que essa tentativa de obtenção de uma licença voluntária de faça </w:t>
      </w:r>
      <w:r>
        <w:rPr>
          <w:rFonts w:ascii="Times New Roman" w:hAnsi="Times New Roman"/>
          <w:i/>
        </w:rPr>
        <w:t>em condições comerciais aceitáveis</w:t>
      </w:r>
      <w:r>
        <w:rPr>
          <w:rFonts w:ascii="Times New Roman" w:hAnsi="Times New Roman"/>
        </w:rPr>
        <w:t xml:space="preserve"> e sejam realizadas </w:t>
      </w:r>
      <w:r>
        <w:rPr>
          <w:rFonts w:ascii="Times New Roman" w:hAnsi="Times New Roman"/>
          <w:i/>
        </w:rPr>
        <w:t>dentro de um prazo razoável</w:t>
      </w:r>
      <w:r>
        <w:rPr>
          <w:rFonts w:ascii="Times New Roman" w:hAnsi="Times New Roman"/>
        </w:rPr>
        <w:t>.</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Estas exigências compreendem-se perfeitamente. Na verdade, tenta-se evitar a fraude por parte do potencial licenciado, pois, se fosse de outra forma, qualquer proposta, poderia permitir a obtenção de uma licença compulsória. Contudo, o problema é que o Acordo </w:t>
      </w:r>
      <w:proofErr w:type="spellStart"/>
      <w:r>
        <w:rPr>
          <w:rFonts w:ascii="Times New Roman" w:hAnsi="Times New Roman"/>
          <w:i/>
        </w:rPr>
        <w:t>Trips</w:t>
      </w:r>
      <w:proofErr w:type="spellEnd"/>
      <w:r>
        <w:rPr>
          <w:rFonts w:ascii="Times New Roman" w:hAnsi="Times New Roman"/>
        </w:rPr>
        <w:t xml:space="preserve"> não dá respostas para estes dois conceitos indeterminados, sendo que é o interprete deve procurar preenche-los. Ponto desde logo aceite pela doutrina é que as circunstâncias do caso concreto devem ser tidas sempre em conta (</w:t>
      </w:r>
      <w:r>
        <w:rPr>
          <w:lang w:val="pt-PT"/>
        </w:rPr>
        <w:t xml:space="preserve">HESTERMEYER, </w:t>
      </w:r>
      <w:r>
        <w:rPr>
          <w:lang w:val="pt-PT" w:eastAsia="pt-PT"/>
        </w:rPr>
        <w:t>2007)</w:t>
      </w:r>
      <w:r>
        <w:rPr>
          <w:lang w:val="pt-PT"/>
        </w:rPr>
        <w:t xml:space="preserve">, </w:t>
      </w:r>
      <w:r>
        <w:rPr>
          <w:rFonts w:ascii="Times New Roman" w:hAnsi="Times New Roman"/>
        </w:rPr>
        <w:t xml:space="preserve">não poderá haver </w:t>
      </w:r>
      <w:proofErr w:type="spellStart"/>
      <w:r>
        <w:rPr>
          <w:rFonts w:ascii="Times New Roman" w:hAnsi="Times New Roman"/>
        </w:rPr>
        <w:t>formulas</w:t>
      </w:r>
      <w:proofErr w:type="spellEnd"/>
      <w:r>
        <w:rPr>
          <w:rFonts w:ascii="Times New Roman" w:hAnsi="Times New Roman"/>
        </w:rPr>
        <w:t xml:space="preserve"> mágicas que permitam preencher estes dois conceitos, somente algumas orientações comuns e gerais aos mesmos.</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Quanto às </w:t>
      </w:r>
      <w:r w:rsidRPr="00462C4A">
        <w:rPr>
          <w:rFonts w:ascii="Times New Roman" w:hAnsi="Times New Roman"/>
          <w:i/>
        </w:rPr>
        <w:t xml:space="preserve">condições comerciais </w:t>
      </w:r>
      <w:proofErr w:type="spellStart"/>
      <w:proofErr w:type="gramStart"/>
      <w:r w:rsidRPr="00462C4A">
        <w:rPr>
          <w:rFonts w:ascii="Times New Roman" w:hAnsi="Times New Roman"/>
          <w:i/>
        </w:rPr>
        <w:t>aceitáveis,</w:t>
      </w:r>
      <w:r w:rsidRPr="00462C4A">
        <w:rPr>
          <w:rFonts w:ascii="Times New Roman" w:hAnsi="Times New Roman"/>
        </w:rPr>
        <w:t>deve</w:t>
      </w:r>
      <w:proofErr w:type="gramEnd"/>
      <w:r w:rsidRPr="00462C4A">
        <w:rPr>
          <w:rFonts w:ascii="Times New Roman" w:hAnsi="Times New Roman"/>
        </w:rPr>
        <w:t>-se</w:t>
      </w:r>
      <w:proofErr w:type="spellEnd"/>
      <w:r w:rsidRPr="00462C4A">
        <w:rPr>
          <w:rFonts w:ascii="Times New Roman" w:hAnsi="Times New Roman"/>
        </w:rPr>
        <w:t>, desde logo, excluir um critério que se baseie nas condições econômicas do potencial licenciado ou de outros atores no circuito comercial, tal como o Estado, consumidores, pacientes, fornecedores, mas sim, ter como critério o mercado onde está inserido e a vontade das partes. (MARQUES</w:t>
      </w:r>
      <w:r>
        <w:rPr>
          <w:rFonts w:ascii="Times New Roman" w:hAnsi="Times New Roman"/>
        </w:rPr>
        <w:t>, 2010).</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Dado o caso concreto em discussão podemos encontrar os mais variados critérios, mas pensamos que existem três que são essenciais e devem ser sempre tidos em conta: a </w:t>
      </w:r>
      <w:r>
        <w:rPr>
          <w:rFonts w:ascii="Times New Roman" w:hAnsi="Times New Roman"/>
          <w:i/>
        </w:rPr>
        <w:t>remuneração oferecida pelo potencial licenciado</w:t>
      </w:r>
      <w:r>
        <w:rPr>
          <w:rFonts w:ascii="Times New Roman" w:hAnsi="Times New Roman"/>
        </w:rPr>
        <w:t xml:space="preserve">, a </w:t>
      </w:r>
      <w:r>
        <w:rPr>
          <w:rFonts w:ascii="Times New Roman" w:hAnsi="Times New Roman"/>
          <w:i/>
        </w:rPr>
        <w:t>duração e autorização proposta</w:t>
      </w:r>
      <w:r>
        <w:rPr>
          <w:rFonts w:ascii="Times New Roman" w:hAnsi="Times New Roman"/>
        </w:rPr>
        <w:t xml:space="preserve"> e a </w:t>
      </w:r>
      <w:r>
        <w:rPr>
          <w:rFonts w:ascii="Times New Roman" w:hAnsi="Times New Roman"/>
          <w:i/>
        </w:rPr>
        <w:t>eventual situação de concorrência entre os dois sujeitos</w:t>
      </w:r>
      <w:r>
        <w:rPr>
          <w:rFonts w:ascii="Times New Roman" w:hAnsi="Times New Roman"/>
        </w:rPr>
        <w:t xml:space="preserve">. No que diz respeito ao </w:t>
      </w:r>
      <w:r>
        <w:rPr>
          <w:rFonts w:ascii="Times New Roman" w:hAnsi="Times New Roman"/>
          <w:i/>
        </w:rPr>
        <w:t>prazo razoável</w:t>
      </w:r>
      <w:r>
        <w:rPr>
          <w:rFonts w:ascii="Times New Roman" w:hAnsi="Times New Roman"/>
        </w:rPr>
        <w:t>, temos de ter em conta que é deveras impossível estabelecer uma quantificação precisa do mesmo. Não obstante alguns países Membros da OMC terem estabelecido este prazo entre três a seis meses (CARVALHO, 2002), tal critério não é seguro e não serve de bitola, pois o prazo razoável depende do caso concreto e da licença compulsória que está em causa. Como Marques (2010) defende, o prazo razoável vai depender “do seu concreto fim ou das circunstâncias que lhe deram origem”. Obviamente, na apreciação se este requisito está ou não preenchido, temos que verificar qual é a intenção real das partes. Assim, pelo lado do potencial licenciado devemos verificar este não quererá protelar o prazo com vista à obtenção o mais rapidamente possível de uma licença compulsória, e, olhando para o campo do titular da patente, se este não estará a prolongar dolosamente o prazo das negociações, permitindo desta forma ao licenciado o poder de unilateralmente interromper as negociações, mesmo que aparentemente, o titular da patente ainda esteja a querer negociar.</w:t>
      </w:r>
    </w:p>
    <w:p w:rsidR="00374B8E" w:rsidRDefault="00374B8E" w:rsidP="00374B8E">
      <w:pPr>
        <w:spacing w:before="120" w:after="120"/>
        <w:ind w:firstLine="708"/>
        <w:jc w:val="both"/>
        <w:rPr>
          <w:rFonts w:ascii="Times New Roman" w:hAnsi="Times New Roman"/>
        </w:rPr>
      </w:pPr>
      <w:r>
        <w:rPr>
          <w:rFonts w:ascii="Times New Roman" w:hAnsi="Times New Roman"/>
        </w:rPr>
        <w:t>Por fim, convém fazer um alerta importante: mesmo estando preenchido este requisito, ele por si só não ser um fundamento de licença compulsória.</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Alguns autores, entre eles Correia (1999), tendem a considerar que a recusa em conceder uma licença voluntária daria </w:t>
      </w:r>
      <w:r>
        <w:rPr>
          <w:rFonts w:ascii="Times New Roman" w:hAnsi="Times New Roman"/>
          <w:i/>
        </w:rPr>
        <w:t>per si</w:t>
      </w:r>
      <w:r>
        <w:rPr>
          <w:rFonts w:ascii="Times New Roman" w:hAnsi="Times New Roman"/>
        </w:rPr>
        <w:t xml:space="preserve"> um fundamento ao potencial licenciado de requerer uma licença compulsória. Tal não está correto. Se olharmos para o Acordo </w:t>
      </w:r>
      <w:proofErr w:type="spellStart"/>
      <w:r>
        <w:rPr>
          <w:rFonts w:ascii="Times New Roman" w:hAnsi="Times New Roman"/>
          <w:i/>
        </w:rPr>
        <w:t>Trips</w:t>
      </w:r>
      <w:proofErr w:type="spellEnd"/>
      <w:r>
        <w:rPr>
          <w:rFonts w:ascii="Times New Roman" w:hAnsi="Times New Roman"/>
        </w:rPr>
        <w:t xml:space="preserve"> (cfr. art. 28º), este permite que o titular da patente possa impedir e opor-se, sem o seu consentimento, a utilização de terceiros da sua patente. A tentativa de obtenção de uma licença voluntária só dará lugar a uma licença compulsória estando inserida num dos fundamentos já referidos, </w:t>
      </w:r>
      <w:proofErr w:type="spellStart"/>
      <w:proofErr w:type="gramStart"/>
      <w:r>
        <w:rPr>
          <w:rFonts w:ascii="Times New Roman" w:hAnsi="Times New Roman"/>
        </w:rPr>
        <w:t>vg</w:t>
      </w:r>
      <w:proofErr w:type="spellEnd"/>
      <w:r>
        <w:rPr>
          <w:rFonts w:ascii="Times New Roman" w:hAnsi="Times New Roman"/>
        </w:rPr>
        <w:t>.,</w:t>
      </w:r>
      <w:proofErr w:type="gramEnd"/>
      <w:r>
        <w:rPr>
          <w:rFonts w:ascii="Times New Roman" w:hAnsi="Times New Roman"/>
        </w:rPr>
        <w:t xml:space="preserve"> a falta de exploração da patente ou a dependência entre patentes. O que, </w:t>
      </w:r>
      <w:r>
        <w:rPr>
          <w:rFonts w:ascii="Times New Roman" w:hAnsi="Times New Roman"/>
          <w:i/>
        </w:rPr>
        <w:t>máxime</w:t>
      </w:r>
      <w:r>
        <w:rPr>
          <w:rFonts w:ascii="Times New Roman" w:hAnsi="Times New Roman"/>
        </w:rPr>
        <w:t xml:space="preserve">, pode acontecer é este ser uma causa que dê lugar a um dos fundamentos de licenças compulsórias, como é comum acontecer nas práticas </w:t>
      </w:r>
      <w:proofErr w:type="spellStart"/>
      <w:r>
        <w:rPr>
          <w:rFonts w:ascii="Times New Roman" w:hAnsi="Times New Roman"/>
        </w:rPr>
        <w:t>anticompetitivas</w:t>
      </w:r>
      <w:proofErr w:type="spellEnd"/>
      <w:r>
        <w:rPr>
          <w:rFonts w:ascii="Times New Roman" w:hAnsi="Times New Roman"/>
        </w:rPr>
        <w:t xml:space="preserve">. A recusa em conceder uma licença voluntária pode, </w:t>
      </w:r>
      <w:r>
        <w:rPr>
          <w:rFonts w:ascii="Times New Roman" w:hAnsi="Times New Roman"/>
        </w:rPr>
        <w:lastRenderedPageBreak/>
        <w:t xml:space="preserve">aliada porventura a um abuso de posição dominante, ser motivo de concessão de uma licença compulsória por estarmos perante uma prática que, do ponto de vista do direito da concorrência, é ilegal. </w:t>
      </w:r>
    </w:p>
    <w:p w:rsidR="00374B8E" w:rsidRPr="00462C4A" w:rsidRDefault="00374B8E" w:rsidP="00374B8E">
      <w:pPr>
        <w:spacing w:before="120" w:after="120"/>
        <w:jc w:val="both"/>
        <w:rPr>
          <w:rFonts w:ascii="Times New Roman" w:hAnsi="Times New Roman"/>
          <w:b/>
        </w:rPr>
      </w:pPr>
      <w:r w:rsidRPr="00462C4A">
        <w:rPr>
          <w:rFonts w:ascii="Times New Roman" w:hAnsi="Times New Roman"/>
          <w:b/>
        </w:rPr>
        <w:t>5 AS CONDIÇÕES IMPOSTAS ÀS LICENÇAS COMPULSÓRIAS</w:t>
      </w:r>
    </w:p>
    <w:p w:rsidR="00374B8E" w:rsidRPr="00462C4A" w:rsidRDefault="00374B8E" w:rsidP="00374B8E">
      <w:pPr>
        <w:spacing w:before="120" w:after="120"/>
        <w:ind w:firstLine="708"/>
        <w:jc w:val="both"/>
        <w:rPr>
          <w:rFonts w:ascii="Times New Roman" w:hAnsi="Times New Roman"/>
        </w:rPr>
      </w:pPr>
      <w:r w:rsidRPr="00462C4A">
        <w:rPr>
          <w:rFonts w:ascii="Times New Roman" w:hAnsi="Times New Roman"/>
        </w:rPr>
        <w:t xml:space="preserve">Por último, teremos de analisar as condições impostas pelo Acordo </w:t>
      </w:r>
      <w:proofErr w:type="spellStart"/>
      <w:r w:rsidRPr="00462C4A">
        <w:rPr>
          <w:rFonts w:ascii="Times New Roman" w:hAnsi="Times New Roman"/>
          <w:i/>
        </w:rPr>
        <w:t>Trips</w:t>
      </w:r>
      <w:proofErr w:type="spellEnd"/>
      <w:r w:rsidRPr="00462C4A">
        <w:rPr>
          <w:rFonts w:ascii="Times New Roman" w:hAnsi="Times New Roman"/>
        </w:rPr>
        <w:t xml:space="preserve">. Em primeiro lugar convém referir que as licenças compulsórias terão que ter em conta o princípio da proporcionalidade, ou seja, a sua duração e extensão terá que levar em conta o objetivo a alcançar (cfr. art. 31º, c), do Acordo </w:t>
      </w:r>
      <w:proofErr w:type="spellStart"/>
      <w:r w:rsidRPr="00462C4A">
        <w:rPr>
          <w:rFonts w:ascii="Times New Roman" w:hAnsi="Times New Roman"/>
          <w:i/>
        </w:rPr>
        <w:t>Trips</w:t>
      </w:r>
      <w:proofErr w:type="spellEnd"/>
      <w:r w:rsidRPr="00462C4A">
        <w:rPr>
          <w:rFonts w:ascii="Times New Roman" w:hAnsi="Times New Roman"/>
        </w:rPr>
        <w:t>), sendo que essa avaliação da proporcionalidade será avaliada de estado para Estado, não necessitando de haver um consenso, mas somente o respeitar deste princípio.</w:t>
      </w:r>
    </w:p>
    <w:p w:rsidR="00374B8E" w:rsidRDefault="00374B8E" w:rsidP="00374B8E">
      <w:pPr>
        <w:spacing w:before="120" w:after="120"/>
        <w:ind w:firstLine="708"/>
        <w:jc w:val="both"/>
        <w:rPr>
          <w:rFonts w:ascii="Times New Roman" w:hAnsi="Times New Roman"/>
        </w:rPr>
      </w:pPr>
      <w:r w:rsidRPr="00462C4A">
        <w:rPr>
          <w:rFonts w:ascii="Times New Roman" w:hAnsi="Times New Roman"/>
        </w:rPr>
        <w:t xml:space="preserve">As licenças compulsórias serão ainda sujeitas a determinadas condições obrigatórias: serão não exclusivas (Cf. art. 31º, c), e só poderão ser transmitidas com a empresa ou parte dela que detém esta licença (Cf. art. 31º, e). Estas licenças terão que ser fornecidas </w:t>
      </w:r>
      <w:r w:rsidRPr="00462C4A">
        <w:rPr>
          <w:rFonts w:ascii="Times New Roman" w:hAnsi="Times New Roman"/>
          <w:i/>
        </w:rPr>
        <w:t xml:space="preserve">predominantemente para o fornecimento do mercado </w:t>
      </w:r>
      <w:proofErr w:type="gramStart"/>
      <w:r w:rsidRPr="00462C4A">
        <w:rPr>
          <w:rFonts w:ascii="Times New Roman" w:hAnsi="Times New Roman"/>
          <w:i/>
        </w:rPr>
        <w:t>interno</w:t>
      </w:r>
      <w:r w:rsidRPr="00462C4A">
        <w:rPr>
          <w:rFonts w:ascii="Times New Roman" w:hAnsi="Times New Roman"/>
        </w:rPr>
        <w:t>(</w:t>
      </w:r>
      <w:proofErr w:type="gramEnd"/>
      <w:r w:rsidRPr="00462C4A">
        <w:rPr>
          <w:rFonts w:ascii="Times New Roman" w:hAnsi="Times New Roman"/>
        </w:rPr>
        <w:t>art. 31º, f), o titular do direito de propriedade afetado terá direito a uma remuneração (Cf. art. 31º, h), e poderão ser revistas ou revogadas se as circunstâncias se alterarem (Cf. art. 31º, g).</w:t>
      </w:r>
      <w:r w:rsidRPr="00462C4A">
        <w:rPr>
          <w:rStyle w:val="Refdenotaderodap"/>
        </w:rPr>
        <w:footnoteReference w:id="20"/>
      </w:r>
    </w:p>
    <w:p w:rsidR="00374B8E" w:rsidRDefault="00374B8E" w:rsidP="00374B8E">
      <w:pPr>
        <w:spacing w:before="120" w:after="120"/>
        <w:jc w:val="both"/>
        <w:rPr>
          <w:rFonts w:ascii="Times New Roman" w:hAnsi="Times New Roman"/>
        </w:rPr>
      </w:pPr>
      <w:r>
        <w:rPr>
          <w:rFonts w:ascii="Times New Roman" w:hAnsi="Times New Roman"/>
        </w:rPr>
        <w:tab/>
        <w:t>Iremos ver cada uma destas condições.</w:t>
      </w:r>
    </w:p>
    <w:p w:rsidR="00374B8E" w:rsidRPr="00604E2B" w:rsidRDefault="00374B8E" w:rsidP="00374B8E">
      <w:pPr>
        <w:spacing w:before="120" w:after="120"/>
        <w:jc w:val="both"/>
        <w:rPr>
          <w:rFonts w:ascii="Times New Roman" w:hAnsi="Times New Roman"/>
          <w:b/>
        </w:rPr>
      </w:pPr>
      <w:r w:rsidRPr="00604E2B">
        <w:rPr>
          <w:rFonts w:ascii="Times New Roman" w:hAnsi="Times New Roman"/>
          <w:b/>
        </w:rPr>
        <w:t>5.1</w:t>
      </w:r>
      <w:r>
        <w:rPr>
          <w:rFonts w:ascii="Times New Roman" w:hAnsi="Times New Roman"/>
          <w:b/>
        </w:rPr>
        <w:t xml:space="preserve"> NÃO EXCLUSIVIDADE</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Esta não </w:t>
      </w:r>
      <w:r w:rsidRPr="00462C4A">
        <w:rPr>
          <w:rFonts w:ascii="Times New Roman" w:hAnsi="Times New Roman"/>
        </w:rPr>
        <w:t xml:space="preserve">exclusividade, estabelecida no art. 31º, d) do Acordo </w:t>
      </w:r>
      <w:proofErr w:type="spellStart"/>
      <w:r w:rsidRPr="00462C4A">
        <w:rPr>
          <w:rFonts w:ascii="Times New Roman" w:hAnsi="Times New Roman"/>
          <w:i/>
        </w:rPr>
        <w:t>Trips</w:t>
      </w:r>
      <w:proofErr w:type="spellEnd"/>
      <w:r w:rsidRPr="00462C4A">
        <w:rPr>
          <w:rFonts w:ascii="Times New Roman" w:hAnsi="Times New Roman"/>
        </w:rPr>
        <w:t xml:space="preserve"> </w:t>
      </w:r>
      <w:proofErr w:type="gramStart"/>
      <w:r w:rsidRPr="00462C4A">
        <w:rPr>
          <w:rFonts w:ascii="Times New Roman" w:hAnsi="Times New Roman"/>
        </w:rPr>
        <w:t>e,</w:t>
      </w:r>
      <w:r w:rsidRPr="00462C4A">
        <w:rPr>
          <w:rFonts w:ascii="Times New Roman" w:hAnsi="Times New Roman"/>
          <w:lang w:val="pt-PT"/>
        </w:rPr>
        <w:t>igualmente</w:t>
      </w:r>
      <w:proofErr w:type="gramEnd"/>
      <w:r w:rsidRPr="00462C4A">
        <w:rPr>
          <w:rFonts w:ascii="Times New Roman" w:hAnsi="Times New Roman"/>
          <w:lang w:val="pt-PT"/>
        </w:rPr>
        <w:t>, no art. 5ºA, nº 4 da CUP,</w:t>
      </w:r>
      <w:r w:rsidRPr="00462C4A">
        <w:rPr>
          <w:rFonts w:ascii="Times New Roman" w:hAnsi="Times New Roman"/>
        </w:rPr>
        <w:t xml:space="preserve"> tem dois sentidos. O primeiro, mais óbvio, que já advém da própria natureza de uma licença, que é o fato de o </w:t>
      </w:r>
      <w:proofErr w:type="spellStart"/>
      <w:r w:rsidRPr="00462C4A">
        <w:rPr>
          <w:rFonts w:ascii="Times New Roman" w:hAnsi="Times New Roman"/>
          <w:i/>
        </w:rPr>
        <w:t>patent</w:t>
      </w:r>
      <w:proofErr w:type="spellEnd"/>
      <w:r w:rsidRPr="00462C4A">
        <w:rPr>
          <w:rFonts w:ascii="Times New Roman" w:hAnsi="Times New Roman"/>
          <w:i/>
        </w:rPr>
        <w:t xml:space="preserve"> </w:t>
      </w:r>
      <w:proofErr w:type="spellStart"/>
      <w:r w:rsidRPr="00462C4A">
        <w:rPr>
          <w:rFonts w:ascii="Times New Roman" w:hAnsi="Times New Roman"/>
          <w:i/>
        </w:rPr>
        <w:t>holder</w:t>
      </w:r>
      <w:proofErr w:type="spellEnd"/>
      <w:r w:rsidRPr="00462C4A">
        <w:rPr>
          <w:rFonts w:ascii="Times New Roman" w:hAnsi="Times New Roman"/>
          <w:i/>
        </w:rPr>
        <w:t xml:space="preserve"> </w:t>
      </w:r>
      <w:r w:rsidRPr="00462C4A">
        <w:rPr>
          <w:rFonts w:ascii="Times New Roman" w:hAnsi="Times New Roman"/>
        </w:rPr>
        <w:t>continuar a poder explorar a patente por si ou por outro licenciado (Cf. art. 106, nº 1). O segundo sentido vem esclarecer-nos que o titular da patente pode ser obrigado a conceder outras licenças compulsórias. (CORREIA, 2008).</w:t>
      </w:r>
    </w:p>
    <w:p w:rsidR="00374B8E" w:rsidRDefault="00374B8E" w:rsidP="00374B8E">
      <w:pPr>
        <w:spacing w:before="120" w:after="120"/>
        <w:ind w:firstLine="709"/>
        <w:jc w:val="both"/>
        <w:rPr>
          <w:rFonts w:ascii="Times New Roman" w:hAnsi="Times New Roman"/>
        </w:rPr>
      </w:pPr>
      <w:r>
        <w:rPr>
          <w:rFonts w:ascii="Times New Roman" w:hAnsi="Times New Roman"/>
        </w:rPr>
        <w:t xml:space="preserve">Quanto ao fato de o titular da patente poder continuar a explorar a patente por si ou por outro </w:t>
      </w:r>
      <w:r w:rsidRPr="00462C4A">
        <w:rPr>
          <w:rFonts w:ascii="Times New Roman" w:hAnsi="Times New Roman"/>
        </w:rPr>
        <w:t xml:space="preserve">licenciado, como afirma alguma doutrina, só desta forma é que o titular da patente pode explorar a patente com as exigências que o art. 106º requer e, eventualmente, peticionar uma revisão da mesma (Cf. art. 107º, nº 4, do </w:t>
      </w:r>
      <w:r w:rsidRPr="00462C4A">
        <w:rPr>
          <w:lang w:val="pt-PT" w:eastAsia="pt-PT"/>
        </w:rPr>
        <w:t>Código da</w:t>
      </w:r>
      <w:r>
        <w:rPr>
          <w:lang w:val="pt-PT" w:eastAsia="pt-PT"/>
        </w:rPr>
        <w:t xml:space="preserve"> Propriedade Industrial).</w:t>
      </w:r>
    </w:p>
    <w:p w:rsidR="00374B8E" w:rsidRPr="00190857" w:rsidRDefault="00374B8E" w:rsidP="00374B8E">
      <w:pPr>
        <w:spacing w:before="120" w:after="120"/>
        <w:jc w:val="both"/>
        <w:rPr>
          <w:rFonts w:ascii="Times New Roman" w:hAnsi="Times New Roman"/>
          <w:b/>
          <w:bCs/>
        </w:rPr>
      </w:pPr>
      <w:r w:rsidRPr="00604E2B">
        <w:rPr>
          <w:rFonts w:ascii="Times New Roman" w:hAnsi="Times New Roman"/>
          <w:b/>
        </w:rPr>
        <w:t>5.2</w:t>
      </w:r>
      <w:r>
        <w:rPr>
          <w:rFonts w:ascii="Times New Roman" w:hAnsi="Times New Roman"/>
          <w:b/>
        </w:rPr>
        <w:t xml:space="preserve"> </w:t>
      </w:r>
      <w:r>
        <w:rPr>
          <w:rFonts w:ascii="Times New Roman" w:hAnsi="Times New Roman"/>
          <w:b/>
          <w:bCs/>
        </w:rPr>
        <w:t>INTRANSMISSIBLIDADE TENDENCIAL</w:t>
      </w:r>
    </w:p>
    <w:p w:rsidR="00374B8E" w:rsidRPr="00462C4A" w:rsidRDefault="00374B8E" w:rsidP="00374B8E">
      <w:pPr>
        <w:spacing w:before="120" w:after="120"/>
        <w:ind w:firstLine="708"/>
        <w:jc w:val="both"/>
        <w:rPr>
          <w:rFonts w:ascii="Times New Roman" w:hAnsi="Times New Roman"/>
        </w:rPr>
      </w:pPr>
      <w:r>
        <w:rPr>
          <w:rFonts w:ascii="Times New Roman" w:hAnsi="Times New Roman"/>
        </w:rPr>
        <w:t xml:space="preserve">Refere a alínea e) do art. 31º que a licença compulsória só poderá ser transmitida “com a parte da </w:t>
      </w:r>
      <w:r w:rsidRPr="00462C4A">
        <w:rPr>
          <w:rFonts w:ascii="Times New Roman" w:hAnsi="Times New Roman"/>
        </w:rPr>
        <w:t xml:space="preserve">empresa ou </w:t>
      </w:r>
      <w:proofErr w:type="spellStart"/>
      <w:r w:rsidRPr="00462C4A">
        <w:rPr>
          <w:rFonts w:ascii="Times New Roman" w:hAnsi="Times New Roman"/>
          <w:i/>
        </w:rPr>
        <w:t>goodwill</w:t>
      </w:r>
      <w:proofErr w:type="spellEnd"/>
      <w:r w:rsidRPr="00462C4A">
        <w:rPr>
          <w:rFonts w:ascii="Times New Roman" w:hAnsi="Times New Roman"/>
        </w:rPr>
        <w:t xml:space="preserve"> que beneficie dessa utilização”. </w:t>
      </w:r>
    </w:p>
    <w:p w:rsidR="00374B8E" w:rsidRDefault="00374B8E" w:rsidP="00374B8E">
      <w:pPr>
        <w:spacing w:before="120" w:after="120"/>
        <w:ind w:firstLine="709"/>
        <w:jc w:val="both"/>
        <w:rPr>
          <w:rFonts w:ascii="Times New Roman" w:hAnsi="Times New Roman"/>
        </w:rPr>
      </w:pPr>
      <w:r w:rsidRPr="00462C4A">
        <w:rPr>
          <w:rFonts w:ascii="Times New Roman" w:hAnsi="Times New Roman"/>
        </w:rPr>
        <w:t>Esta disposição proíbe assim uma cessão contratual e a sublicença</w:t>
      </w:r>
      <w:r w:rsidRPr="00462C4A">
        <w:rPr>
          <w:rFonts w:ascii="Times New Roman" w:hAnsi="Times New Roman"/>
          <w:vertAlign w:val="superscript"/>
        </w:rPr>
        <w:footnoteReference w:id="21"/>
      </w:r>
      <w:r w:rsidRPr="00462C4A">
        <w:rPr>
          <w:rFonts w:ascii="Times New Roman" w:hAnsi="Times New Roman"/>
        </w:rPr>
        <w:t>/</w:t>
      </w:r>
      <w:r w:rsidRPr="00462C4A">
        <w:rPr>
          <w:rFonts w:ascii="Times New Roman" w:hAnsi="Times New Roman"/>
          <w:vertAlign w:val="superscript"/>
        </w:rPr>
        <w:footnoteReference w:id="22"/>
      </w:r>
      <w:r w:rsidRPr="00462C4A">
        <w:rPr>
          <w:rFonts w:ascii="Times New Roman" w:hAnsi="Times New Roman"/>
        </w:rPr>
        <w:t xml:space="preserve"> por parte do licenciado. (CARVALHO, 2002). Este é o princípio, por isso</w:t>
      </w:r>
      <w:r>
        <w:rPr>
          <w:rFonts w:ascii="Times New Roman" w:hAnsi="Times New Roman"/>
        </w:rPr>
        <w:t xml:space="preserve"> se entende que há uma intransmissibilidade tendencial. Contudo, como quase todos os princípios, este tem uma exceção, em que se permite a transmissão da licença compulsória. Esta poderá ocorrer quando se transmita – trespasse - parte da empresa ou estabelecimento comercial. Quando há a </w:t>
      </w:r>
      <w:r>
        <w:rPr>
          <w:rFonts w:ascii="Times New Roman" w:hAnsi="Times New Roman"/>
        </w:rPr>
        <w:lastRenderedPageBreak/>
        <w:t>transmissão de uma empresa, não fazia qualquer sentido obrigar o licenciado a quedar-se com a titularidade da licença, pois, em princípio, este não terá qualquer interesse em explorá-la.</w:t>
      </w:r>
    </w:p>
    <w:p w:rsidR="00374B8E" w:rsidRPr="00190857" w:rsidRDefault="00374B8E" w:rsidP="00374B8E">
      <w:pPr>
        <w:spacing w:before="120" w:after="120"/>
        <w:jc w:val="both"/>
        <w:rPr>
          <w:rFonts w:ascii="Times New Roman" w:hAnsi="Times New Roman"/>
          <w:b/>
          <w:bCs/>
        </w:rPr>
      </w:pPr>
      <w:r w:rsidRPr="00462C4A">
        <w:rPr>
          <w:rFonts w:ascii="Times New Roman" w:hAnsi="Times New Roman"/>
          <w:b/>
          <w:bCs/>
        </w:rPr>
        <w:t>5. 3</w:t>
      </w:r>
      <w:r>
        <w:rPr>
          <w:rFonts w:ascii="Times New Roman" w:hAnsi="Times New Roman"/>
          <w:b/>
          <w:bCs/>
        </w:rPr>
        <w:t xml:space="preserve"> DEVEM SERVIR </w:t>
      </w:r>
      <w:r>
        <w:rPr>
          <w:rFonts w:ascii="Times New Roman" w:hAnsi="Times New Roman"/>
          <w:b/>
          <w:bCs/>
          <w:i/>
        </w:rPr>
        <w:t>PREDOMINANTEMENTE</w:t>
      </w:r>
      <w:r>
        <w:rPr>
          <w:rFonts w:ascii="Times New Roman" w:hAnsi="Times New Roman"/>
          <w:b/>
          <w:bCs/>
        </w:rPr>
        <w:t xml:space="preserve"> PARA O FORNECIMENTO DO MERCADO INTERNO</w:t>
      </w:r>
    </w:p>
    <w:p w:rsidR="00374B8E" w:rsidRDefault="00374B8E" w:rsidP="00374B8E">
      <w:pPr>
        <w:spacing w:before="120" w:after="120"/>
        <w:ind w:firstLine="708"/>
        <w:jc w:val="both"/>
        <w:rPr>
          <w:rFonts w:ascii="Times New Roman" w:hAnsi="Times New Roman"/>
        </w:rPr>
      </w:pPr>
      <w:r>
        <w:rPr>
          <w:rFonts w:ascii="Times New Roman" w:hAnsi="Times New Roman"/>
        </w:rPr>
        <w:t xml:space="preserve">Este requisito encontra-se autonomizado na alínea f) do art. 31º do Acordo </w:t>
      </w:r>
      <w:proofErr w:type="spellStart"/>
      <w:r>
        <w:rPr>
          <w:rFonts w:ascii="Times New Roman" w:hAnsi="Times New Roman"/>
          <w:i/>
        </w:rPr>
        <w:t>Trips</w:t>
      </w:r>
      <w:proofErr w:type="spellEnd"/>
      <w:r>
        <w:rPr>
          <w:rFonts w:ascii="Times New Roman" w:hAnsi="Times New Roman"/>
        </w:rPr>
        <w:t xml:space="preserve">. </w:t>
      </w:r>
    </w:p>
    <w:p w:rsidR="00374B8E" w:rsidRDefault="00374B8E" w:rsidP="00374B8E">
      <w:pPr>
        <w:spacing w:before="120" w:after="120"/>
        <w:ind w:firstLine="709"/>
        <w:jc w:val="both"/>
        <w:rPr>
          <w:rFonts w:ascii="Times New Roman" w:hAnsi="Times New Roman"/>
        </w:rPr>
      </w:pPr>
      <w:r>
        <w:rPr>
          <w:rFonts w:ascii="Times New Roman" w:hAnsi="Times New Roman"/>
        </w:rPr>
        <w:t>Como Carvalho (2002) refere, este requisito vem proibir que as licenças compulsórias sejam concedidas para o fornecimento de um país estrangeiro ou para atender aos interesses do mesmo. Sempre que um país emitir uma licença deste tipo será para fornecer o mercado interno, sendo, desta forma, proibida a exportação – da maior parte dos produtos advindos da mesma - para outro país.</w:t>
      </w:r>
      <w:r>
        <w:rPr>
          <w:rFonts w:ascii="Times New Roman" w:hAnsi="Times New Roman"/>
          <w:vertAlign w:val="superscript"/>
        </w:rPr>
        <w:footnoteReference w:id="23"/>
      </w:r>
    </w:p>
    <w:p w:rsidR="00374B8E" w:rsidRPr="00604E2B" w:rsidRDefault="00374B8E" w:rsidP="00374B8E">
      <w:pPr>
        <w:spacing w:before="120" w:after="120"/>
        <w:jc w:val="both"/>
        <w:rPr>
          <w:rFonts w:ascii="Times New Roman" w:hAnsi="Times New Roman"/>
          <w:b/>
          <w:bCs/>
        </w:rPr>
      </w:pPr>
      <w:r>
        <w:rPr>
          <w:rFonts w:ascii="Times New Roman" w:hAnsi="Times New Roman"/>
          <w:b/>
          <w:bCs/>
        </w:rPr>
        <w:t>5.4 REMUNERAÇÃO</w:t>
      </w:r>
    </w:p>
    <w:p w:rsidR="00374B8E" w:rsidRDefault="00374B8E" w:rsidP="00374B8E">
      <w:pPr>
        <w:spacing w:before="120" w:after="120"/>
        <w:ind w:firstLine="709"/>
        <w:jc w:val="both"/>
        <w:rPr>
          <w:rFonts w:ascii="Times New Roman" w:hAnsi="Times New Roman"/>
        </w:rPr>
      </w:pPr>
      <w:r>
        <w:rPr>
          <w:rFonts w:ascii="Times New Roman" w:hAnsi="Times New Roman"/>
        </w:rPr>
        <w:t xml:space="preserve">A remuneração está prevista no art. 31º, h) do Acordo </w:t>
      </w:r>
      <w:proofErr w:type="spellStart"/>
      <w:r>
        <w:rPr>
          <w:rFonts w:ascii="Times New Roman" w:hAnsi="Times New Roman"/>
          <w:i/>
        </w:rPr>
        <w:t>Trips</w:t>
      </w:r>
      <w:proofErr w:type="spellEnd"/>
      <w:r>
        <w:rPr>
          <w:rFonts w:ascii="Times New Roman" w:hAnsi="Times New Roman"/>
        </w:rPr>
        <w:t xml:space="preserve">. </w:t>
      </w:r>
    </w:p>
    <w:p w:rsidR="00374B8E" w:rsidRPr="00462C4A" w:rsidRDefault="00374B8E" w:rsidP="00374B8E">
      <w:pPr>
        <w:spacing w:before="120" w:after="120"/>
        <w:ind w:firstLine="708"/>
        <w:jc w:val="both"/>
        <w:rPr>
          <w:rFonts w:ascii="Times New Roman" w:hAnsi="Times New Roman"/>
        </w:rPr>
      </w:pPr>
      <w:r>
        <w:rPr>
          <w:rFonts w:ascii="Times New Roman" w:hAnsi="Times New Roman"/>
        </w:rPr>
        <w:t xml:space="preserve">O Acordo </w:t>
      </w:r>
      <w:proofErr w:type="spellStart"/>
      <w:r>
        <w:rPr>
          <w:rFonts w:ascii="Times New Roman" w:hAnsi="Times New Roman"/>
          <w:i/>
        </w:rPr>
        <w:t>Trips</w:t>
      </w:r>
      <w:proofErr w:type="spellEnd"/>
      <w:r>
        <w:rPr>
          <w:rFonts w:ascii="Times New Roman" w:hAnsi="Times New Roman"/>
        </w:rPr>
        <w:t xml:space="preserve"> não fornece nenhuma forma quantitativa para acharmos a remuneração, somente auxiliando o interprete com dois critérios que devemos ter em conta: a remuneração será adequada</w:t>
      </w:r>
      <w:r>
        <w:rPr>
          <w:rFonts w:ascii="Times New Roman" w:hAnsi="Times New Roman"/>
          <w:vertAlign w:val="superscript"/>
        </w:rPr>
        <w:footnoteReference w:id="24"/>
      </w:r>
      <w:r>
        <w:rPr>
          <w:rFonts w:ascii="Times New Roman" w:hAnsi="Times New Roman"/>
        </w:rPr>
        <w:t>, se tiver em conta</w:t>
      </w:r>
      <w:r>
        <w:rPr>
          <w:rFonts w:ascii="Times New Roman" w:hAnsi="Times New Roman"/>
          <w:i/>
        </w:rPr>
        <w:t xml:space="preserve"> o caso concreto</w:t>
      </w:r>
      <w:r>
        <w:rPr>
          <w:rFonts w:ascii="Times New Roman" w:hAnsi="Times New Roman"/>
        </w:rPr>
        <w:t xml:space="preserve"> e basear-se ainda no </w:t>
      </w:r>
      <w:r>
        <w:rPr>
          <w:rFonts w:ascii="Times New Roman" w:hAnsi="Times New Roman"/>
          <w:i/>
        </w:rPr>
        <w:t>valor econômico da autorização</w:t>
      </w:r>
      <w:r>
        <w:rPr>
          <w:rFonts w:ascii="Times New Roman" w:hAnsi="Times New Roman"/>
        </w:rPr>
        <w:t xml:space="preserve">. Podemos retirar, desde logo, duas premissas: não deve existir qualquer benefício adicional para o titular da </w:t>
      </w:r>
      <w:proofErr w:type="gramStart"/>
      <w:r>
        <w:rPr>
          <w:rFonts w:ascii="Times New Roman" w:hAnsi="Times New Roman"/>
        </w:rPr>
        <w:t>patente,  e</w:t>
      </w:r>
      <w:proofErr w:type="gramEnd"/>
      <w:r>
        <w:rPr>
          <w:rFonts w:ascii="Times New Roman" w:hAnsi="Times New Roman"/>
        </w:rPr>
        <w:t xml:space="preserve"> a </w:t>
      </w:r>
      <w:r w:rsidRPr="00462C4A">
        <w:rPr>
          <w:rFonts w:ascii="Times New Roman" w:hAnsi="Times New Roman"/>
        </w:rPr>
        <w:t>remuneração deve basear-se no critério enunciados, não podendo haver uma oneração excessiva do licenciado. (FORD, 2000).</w:t>
      </w:r>
    </w:p>
    <w:p w:rsidR="00374B8E" w:rsidRPr="00462C4A" w:rsidRDefault="00374B8E" w:rsidP="00374B8E">
      <w:pPr>
        <w:spacing w:before="120" w:after="120"/>
        <w:ind w:firstLine="709"/>
        <w:jc w:val="both"/>
        <w:rPr>
          <w:rFonts w:ascii="Times New Roman" w:hAnsi="Times New Roman"/>
        </w:rPr>
      </w:pPr>
      <w:r w:rsidRPr="00462C4A">
        <w:rPr>
          <w:rFonts w:ascii="Times New Roman" w:hAnsi="Times New Roman"/>
        </w:rPr>
        <w:t>Quanto aos critérios em si, a remuneração adequada terá que ser vista tendo em conta caso a caso, e obrigatoriamente ter em conta o valor econômico da licença. Pensamos que estes critérios se completam e podem ser vistos em conjunto. Assim, no cálculo da mesma, teremos que olhar necessariamente para a finalidade da licença, o país e o mercado onde opera, e a antiguidade da tecnologia. (CORREIA, 2008).</w:t>
      </w:r>
    </w:p>
    <w:p w:rsidR="00374B8E" w:rsidRDefault="00374B8E" w:rsidP="00374B8E">
      <w:pPr>
        <w:spacing w:before="120" w:after="120"/>
        <w:ind w:firstLine="709"/>
        <w:jc w:val="both"/>
        <w:rPr>
          <w:rFonts w:ascii="Times New Roman" w:hAnsi="Times New Roman"/>
        </w:rPr>
      </w:pPr>
      <w:r w:rsidRPr="00462C4A">
        <w:rPr>
          <w:rFonts w:ascii="Times New Roman" w:hAnsi="Times New Roman"/>
        </w:rPr>
        <w:t xml:space="preserve">É preciso ter ainda atenção para o fato de as licenças compulsórias serem exclusivas, o que irá fazer com que estas percam valor, logo, baixando a remuneração. </w:t>
      </w:r>
      <w:r w:rsidRPr="00462C4A">
        <w:rPr>
          <w:lang w:val="pt-PT"/>
        </w:rPr>
        <w:t>(HESTERMEYER,</w:t>
      </w:r>
      <w:r>
        <w:rPr>
          <w:lang w:val="pt-PT"/>
        </w:rPr>
        <w:t xml:space="preserve"> 2007).</w:t>
      </w:r>
    </w:p>
    <w:p w:rsidR="00374B8E" w:rsidRDefault="00374B8E" w:rsidP="00374B8E">
      <w:pPr>
        <w:spacing w:before="120" w:after="120"/>
        <w:ind w:firstLine="709"/>
        <w:jc w:val="both"/>
        <w:rPr>
          <w:rFonts w:ascii="Times New Roman" w:hAnsi="Times New Roman"/>
        </w:rPr>
      </w:pPr>
      <w:r>
        <w:rPr>
          <w:rFonts w:ascii="Times New Roman" w:hAnsi="Times New Roman"/>
        </w:rPr>
        <w:t xml:space="preserve">O montante de remuneração, dado que joga com interesses patrimoniais importantes, e porque poderá ser a única forma de o titular da patente terá de salvaguardar os seus interesses, na medida em que, principalmente nas modalidades de licenças compulsórias por interesse público, será muito complicado evitar a concessão da mesma, poderá ser revista judicialmente ou </w:t>
      </w:r>
      <w:r>
        <w:rPr>
          <w:rFonts w:ascii="Times New Roman" w:hAnsi="Times New Roman"/>
          <w:i/>
        </w:rPr>
        <w:t xml:space="preserve">outra revisão </w:t>
      </w:r>
      <w:proofErr w:type="spellStart"/>
      <w:r>
        <w:rPr>
          <w:rFonts w:ascii="Times New Roman" w:hAnsi="Times New Roman"/>
          <w:i/>
        </w:rPr>
        <w:t>independentepor</w:t>
      </w:r>
      <w:proofErr w:type="spellEnd"/>
      <w:r>
        <w:rPr>
          <w:rFonts w:ascii="Times New Roman" w:hAnsi="Times New Roman"/>
          <w:i/>
        </w:rPr>
        <w:t xml:space="preserve"> parte de uma autoridade superior </w:t>
      </w:r>
      <w:r w:rsidRPr="0003754B">
        <w:rPr>
          <w:rFonts w:ascii="Times New Roman" w:hAnsi="Times New Roman"/>
          <w:i/>
        </w:rPr>
        <w:t xml:space="preserve">distinta </w:t>
      </w:r>
      <w:r w:rsidRPr="0003754B">
        <w:rPr>
          <w:rFonts w:ascii="Times New Roman" w:hAnsi="Times New Roman"/>
        </w:rPr>
        <w:t xml:space="preserve">(Cf. art. 31º, j) do Acordo </w:t>
      </w:r>
      <w:proofErr w:type="spellStart"/>
      <w:r w:rsidRPr="0003754B">
        <w:rPr>
          <w:rFonts w:ascii="Times New Roman" w:hAnsi="Times New Roman"/>
          <w:i/>
        </w:rPr>
        <w:t>Trips</w:t>
      </w:r>
      <w:proofErr w:type="spellEnd"/>
      <w:r w:rsidRPr="0003754B">
        <w:rPr>
          <w:rFonts w:ascii="Times New Roman" w:hAnsi="Times New Roman"/>
        </w:rPr>
        <w:t>).</w:t>
      </w:r>
      <w:r w:rsidRPr="0003754B">
        <w:rPr>
          <w:rFonts w:ascii="Times New Roman" w:hAnsi="Times New Roman"/>
          <w:vertAlign w:val="superscript"/>
        </w:rPr>
        <w:footnoteReference w:id="25"/>
      </w:r>
      <w:r w:rsidRPr="0003754B">
        <w:rPr>
          <w:rFonts w:ascii="Times New Roman" w:hAnsi="Times New Roman"/>
        </w:rPr>
        <w:t xml:space="preserve"> O Acordo </w:t>
      </w:r>
      <w:proofErr w:type="spellStart"/>
      <w:r w:rsidRPr="0003754B">
        <w:rPr>
          <w:rFonts w:ascii="Times New Roman" w:hAnsi="Times New Roman"/>
          <w:i/>
        </w:rPr>
        <w:t>Trips</w:t>
      </w:r>
      <w:proofErr w:type="spellEnd"/>
      <w:r w:rsidRPr="0003754B">
        <w:rPr>
          <w:rFonts w:ascii="Times New Roman" w:hAnsi="Times New Roman"/>
        </w:rPr>
        <w:t xml:space="preserve"> permite, desta forma, que a revisão se possa realizar administrativamente ou </w:t>
      </w:r>
      <w:proofErr w:type="spellStart"/>
      <w:r w:rsidRPr="0003754B">
        <w:rPr>
          <w:rFonts w:ascii="Times New Roman" w:hAnsi="Times New Roman"/>
        </w:rPr>
        <w:t>arbitralmente</w:t>
      </w:r>
      <w:proofErr w:type="spellEnd"/>
      <w:r w:rsidRPr="0003754B">
        <w:rPr>
          <w:rFonts w:ascii="Times New Roman" w:hAnsi="Times New Roman"/>
        </w:rPr>
        <w:t>, desde que essa autoridade seja independente.</w:t>
      </w:r>
    </w:p>
    <w:p w:rsidR="00374B8E" w:rsidRDefault="00374B8E" w:rsidP="00374B8E">
      <w:pPr>
        <w:spacing w:before="120" w:after="120"/>
        <w:jc w:val="center"/>
        <w:rPr>
          <w:rFonts w:ascii="Times New Roman" w:hAnsi="Times New Roman"/>
          <w:b/>
        </w:rPr>
      </w:pPr>
      <w:r>
        <w:rPr>
          <w:rFonts w:ascii="Times New Roman" w:hAnsi="Times New Roman"/>
          <w:b/>
        </w:rPr>
        <w:t>CONCLUSÃO</w:t>
      </w:r>
    </w:p>
    <w:p w:rsidR="00374B8E" w:rsidRDefault="00374B8E" w:rsidP="00374B8E">
      <w:pPr>
        <w:spacing w:before="120" w:after="120"/>
        <w:jc w:val="both"/>
        <w:rPr>
          <w:rFonts w:ascii="Times New Roman" w:hAnsi="Times New Roman"/>
        </w:rPr>
      </w:pPr>
      <w:r>
        <w:rPr>
          <w:rFonts w:ascii="Times New Roman" w:hAnsi="Times New Roman"/>
          <w:b/>
        </w:rPr>
        <w:tab/>
      </w:r>
      <w:r>
        <w:rPr>
          <w:rFonts w:ascii="Times New Roman" w:hAnsi="Times New Roman"/>
        </w:rPr>
        <w:t xml:space="preserve">Ao abordamos o regime jurídico internacional das licenças compulsórias, verificamos que este teve a preocupação de estabelecer vários parâmetros e condições obrigatórias, sendo </w:t>
      </w:r>
      <w:r>
        <w:rPr>
          <w:rFonts w:ascii="Times New Roman" w:hAnsi="Times New Roman"/>
        </w:rPr>
        <w:lastRenderedPageBreak/>
        <w:t xml:space="preserve">que, </w:t>
      </w:r>
      <w:proofErr w:type="spellStart"/>
      <w:r>
        <w:rPr>
          <w:rFonts w:ascii="Times New Roman" w:hAnsi="Times New Roman"/>
        </w:rPr>
        <w:t>esta</w:t>
      </w:r>
      <w:proofErr w:type="spellEnd"/>
      <w:r>
        <w:rPr>
          <w:rFonts w:ascii="Times New Roman" w:hAnsi="Times New Roman"/>
        </w:rPr>
        <w:t xml:space="preserve"> mesmas regras foram, na sua maioria, transpostas para as ordens jurídicos dos membros da Organização Mundial do Comércio, como demonstram, a título de exemplo, o CPI português e a lei de patentes brasileira.</w:t>
      </w:r>
    </w:p>
    <w:p w:rsidR="00374B8E" w:rsidRDefault="00374B8E" w:rsidP="00374B8E">
      <w:pPr>
        <w:spacing w:before="120" w:after="120"/>
        <w:jc w:val="both"/>
        <w:rPr>
          <w:rFonts w:ascii="Times New Roman" w:hAnsi="Times New Roman"/>
        </w:rPr>
      </w:pPr>
      <w:r>
        <w:rPr>
          <w:rFonts w:ascii="Times New Roman" w:hAnsi="Times New Roman"/>
        </w:rPr>
        <w:tab/>
        <w:t xml:space="preserve">Contudo, verificamos que algumas questões que necessitavam de regulação </w:t>
      </w:r>
      <w:r>
        <w:rPr>
          <w:rFonts w:ascii="Times New Roman" w:hAnsi="Times New Roman"/>
          <w:i/>
        </w:rPr>
        <w:t xml:space="preserve">jus </w:t>
      </w:r>
      <w:r>
        <w:rPr>
          <w:rFonts w:ascii="Times New Roman" w:hAnsi="Times New Roman"/>
        </w:rPr>
        <w:t xml:space="preserve">internacional ficaram órfãs. </w:t>
      </w:r>
      <w:r w:rsidRPr="0003754B">
        <w:rPr>
          <w:rFonts w:ascii="Times New Roman" w:hAnsi="Times New Roman"/>
        </w:rPr>
        <w:t>É o caso de sabermos se em alguns casos poderá não haver a atribuição de qualquer remuneração. (</w:t>
      </w:r>
      <w:proofErr w:type="spellStart"/>
      <w:proofErr w:type="gramStart"/>
      <w:r w:rsidRPr="0003754B">
        <w:rPr>
          <w:rFonts w:ascii="Times New Roman" w:hAnsi="Times New Roman"/>
          <w:i/>
        </w:rPr>
        <w:t>royaltie</w:t>
      </w:r>
      <w:proofErr w:type="spellEnd"/>
      <w:proofErr w:type="gramEnd"/>
      <w:r w:rsidRPr="0003754B">
        <w:rPr>
          <w:rFonts w:ascii="Times New Roman" w:hAnsi="Times New Roman"/>
          <w:i/>
        </w:rPr>
        <w:t xml:space="preserve"> </w:t>
      </w:r>
      <w:proofErr w:type="spellStart"/>
      <w:r w:rsidRPr="0003754B">
        <w:rPr>
          <w:rFonts w:ascii="Times New Roman" w:hAnsi="Times New Roman"/>
          <w:i/>
        </w:rPr>
        <w:t>free</w:t>
      </w:r>
      <w:proofErr w:type="spellEnd"/>
      <w:r w:rsidRPr="0003754B">
        <w:rPr>
          <w:rFonts w:ascii="Times New Roman" w:hAnsi="Times New Roman"/>
          <w:i/>
        </w:rPr>
        <w:t xml:space="preserve">). </w:t>
      </w:r>
      <w:r w:rsidRPr="0003754B">
        <w:rPr>
          <w:rFonts w:ascii="Times New Roman" w:hAnsi="Times New Roman"/>
        </w:rPr>
        <w:t xml:space="preserve">A pouca doutrina que se pronuncia sobre esta questão tem respondido </w:t>
      </w:r>
      <w:proofErr w:type="spellStart"/>
      <w:r w:rsidRPr="0003754B">
        <w:rPr>
          <w:rFonts w:ascii="Times New Roman" w:hAnsi="Times New Roman"/>
        </w:rPr>
        <w:t>afirmativament</w:t>
      </w:r>
      <w:proofErr w:type="spellEnd"/>
      <w:r w:rsidRPr="0003754B">
        <w:rPr>
          <w:rFonts w:ascii="Times New Roman" w:hAnsi="Times New Roman"/>
        </w:rPr>
        <w:t>. (CARVALHO, 2002</w:t>
      </w:r>
      <w:r>
        <w:rPr>
          <w:rFonts w:ascii="Times New Roman" w:hAnsi="Times New Roman"/>
        </w:rPr>
        <w:t>). Concordamos com esta possibilidade. Na verdade, em situações concretas, dado o pouco valor, pelo menos potencial, ou em situações em que se tem como objetivo sancionar um prevaricador será justo não atribuir qualquer remuneração. Contudo, e é preciso ter em atenção que esta solução só se poderá dar em circunstâncias excepcionais, já que, a remuneração é uma das garantias do titular do direito de propriedade industrial.</w:t>
      </w:r>
    </w:p>
    <w:p w:rsidR="00374B8E" w:rsidRDefault="00374B8E" w:rsidP="00374B8E">
      <w:pPr>
        <w:spacing w:before="120" w:after="120"/>
        <w:jc w:val="both"/>
        <w:rPr>
          <w:rFonts w:ascii="Times New Roman" w:hAnsi="Times New Roman"/>
        </w:rPr>
      </w:pPr>
      <w:r>
        <w:rPr>
          <w:rFonts w:ascii="Times New Roman" w:hAnsi="Times New Roman"/>
        </w:rPr>
        <w:tab/>
        <w:t xml:space="preserve">Outro ponto que deve ser esclarecido é o das licenças compulsórias por interesse público. Apesar de ter existido progressos recentes com a consagração em 2005 do art. 31º </w:t>
      </w:r>
      <w:r>
        <w:rPr>
          <w:rFonts w:ascii="Times New Roman" w:hAnsi="Times New Roman"/>
          <w:i/>
        </w:rPr>
        <w:t>bis</w:t>
      </w:r>
      <w:r>
        <w:rPr>
          <w:rFonts w:ascii="Times New Roman" w:hAnsi="Times New Roman"/>
        </w:rPr>
        <w:t xml:space="preserve"> do acordo </w:t>
      </w:r>
      <w:proofErr w:type="spellStart"/>
      <w:r>
        <w:rPr>
          <w:rFonts w:ascii="Times New Roman" w:hAnsi="Times New Roman"/>
          <w:i/>
        </w:rPr>
        <w:t>Trips</w:t>
      </w:r>
      <w:proofErr w:type="spellEnd"/>
      <w:r>
        <w:rPr>
          <w:rStyle w:val="Refdenotaderodap"/>
          <w:i/>
        </w:rPr>
        <w:footnoteReference w:id="26"/>
      </w:r>
      <w:r>
        <w:rPr>
          <w:rFonts w:ascii="Times New Roman" w:hAnsi="Times New Roman"/>
        </w:rPr>
        <w:t xml:space="preserve">, que permite derrogar parcialmente a regra presente no art. 31º, f), permitindo a exportação de medicamentos licenciados compulsoriamente para países sem capacidade industrial para os fabricar, este passo continua a ser insuficiente. Para além da burocracia da emenda ao Acordo </w:t>
      </w:r>
      <w:proofErr w:type="spellStart"/>
      <w:r>
        <w:rPr>
          <w:rFonts w:ascii="Times New Roman" w:hAnsi="Times New Roman"/>
          <w:i/>
        </w:rPr>
        <w:t>Trips</w:t>
      </w:r>
      <w:proofErr w:type="spellEnd"/>
      <w:r>
        <w:rPr>
          <w:rFonts w:ascii="Times New Roman" w:hAnsi="Times New Roman"/>
        </w:rPr>
        <w:t xml:space="preserve">, existem outros valores ancorados ao interesse público que deveriam ser abordados pela Organização Mundial do Comércio, tal como o desenvolvimento econômico e tecnológico. Não chega o art. 8º do Acordo </w:t>
      </w:r>
      <w:proofErr w:type="spellStart"/>
      <w:r>
        <w:rPr>
          <w:rFonts w:ascii="Times New Roman" w:hAnsi="Times New Roman"/>
          <w:i/>
        </w:rPr>
        <w:t>Trips</w:t>
      </w:r>
      <w:proofErr w:type="spellEnd"/>
      <w:r>
        <w:rPr>
          <w:rFonts w:ascii="Times New Roman" w:hAnsi="Times New Roman"/>
        </w:rPr>
        <w:t>, pois estes são apenas princípios consagrados para todo o regime da propriedade intelectual, que podem ser interpretados das mais diversas e meticulosas formas.</w:t>
      </w:r>
    </w:p>
    <w:p w:rsidR="00374B8E" w:rsidRPr="00A0624A" w:rsidRDefault="00374B8E" w:rsidP="00374B8E">
      <w:pPr>
        <w:spacing w:before="120" w:after="120"/>
        <w:jc w:val="both"/>
        <w:rPr>
          <w:rFonts w:ascii="Times New Roman" w:hAnsi="Times New Roman"/>
        </w:rPr>
      </w:pPr>
      <w:r>
        <w:rPr>
          <w:rFonts w:ascii="Times New Roman" w:hAnsi="Times New Roman"/>
        </w:rPr>
        <w:tab/>
      </w:r>
      <w:proofErr w:type="spellStart"/>
      <w:r>
        <w:rPr>
          <w:rFonts w:ascii="Times New Roman" w:hAnsi="Times New Roman"/>
        </w:rPr>
        <w:t>Mau</w:t>
      </w:r>
      <w:proofErr w:type="spellEnd"/>
      <w:r>
        <w:rPr>
          <w:rFonts w:ascii="Times New Roman" w:hAnsi="Times New Roman"/>
        </w:rPr>
        <w:t xml:space="preserve"> grado estes pontos negativos, o regime das licenças compulsórias continua a ser de primordial importância para o direito da propriedade industrial. Diversos estudos demonstram que uma das vantagens destas licenças é tornarem-se um meio de pressão para os titulares dos direitos em questão, pois estes são coagidos a licenciar voluntariamente o seu direito. Assim, a sua mera existência é um eficaz meio de persuasão, que permite um melhor funcionamento deste ramo do direito. Aliás, em nossa opinião, pensamos que um dos objetivos ancorados ao instituto das licenças compulsórias é precisamente esse: facilitar a concessão de licenças contratuais. Basta olhar para um dos seus requisitos, que é o da a tentativa de obtenção voluntárias de uma licença. Deste modo, este não será somente um mero efeito reflexo, mas sim um verdadeiro objetivo das licenças que estudamos.</w:t>
      </w:r>
    </w:p>
    <w:p w:rsidR="00374B8E" w:rsidRDefault="00374B8E" w:rsidP="00374B8E">
      <w:pPr>
        <w:pStyle w:val="Textodenotaderodap"/>
        <w:ind w:firstLine="708"/>
        <w:jc w:val="center"/>
        <w:rPr>
          <w:b/>
          <w:sz w:val="24"/>
          <w:lang w:eastAsia="pt-PT"/>
        </w:rPr>
      </w:pPr>
      <w:r>
        <w:rPr>
          <w:b/>
          <w:sz w:val="24"/>
          <w:lang w:eastAsia="pt-PT"/>
        </w:rPr>
        <w:t xml:space="preserve">REFERÊNCIAS </w:t>
      </w:r>
    </w:p>
    <w:p w:rsidR="00374B8E" w:rsidRDefault="00374B8E" w:rsidP="00374B8E">
      <w:pPr>
        <w:pStyle w:val="Textodenotaderodap"/>
        <w:rPr>
          <w:b/>
          <w:sz w:val="24"/>
          <w:lang w:eastAsia="pt-PT"/>
        </w:rPr>
      </w:pPr>
    </w:p>
    <w:p w:rsidR="00374B8E" w:rsidRPr="00FE3077" w:rsidRDefault="00374B8E" w:rsidP="00D97792">
      <w:pPr>
        <w:pStyle w:val="Textodenotaderodap"/>
        <w:rPr>
          <w:rFonts w:ascii="Times New Roman" w:hAnsi="Times New Roman"/>
          <w:sz w:val="24"/>
          <w:lang w:val="en-US" w:eastAsia="pt-PT"/>
        </w:rPr>
      </w:pPr>
      <w:r w:rsidRPr="0003754B">
        <w:rPr>
          <w:rFonts w:ascii="Times New Roman" w:hAnsi="Times New Roman"/>
          <w:sz w:val="24"/>
          <w:lang w:eastAsia="pt-PT"/>
        </w:rPr>
        <w:t xml:space="preserve">AAVV. </w:t>
      </w:r>
      <w:r w:rsidRPr="0003754B">
        <w:rPr>
          <w:rFonts w:ascii="Times New Roman" w:hAnsi="Times New Roman"/>
          <w:i/>
          <w:sz w:val="24"/>
          <w:lang w:eastAsia="pt-PT"/>
        </w:rPr>
        <w:t>Código</w:t>
      </w:r>
      <w:r>
        <w:rPr>
          <w:rFonts w:ascii="Times New Roman" w:hAnsi="Times New Roman"/>
          <w:i/>
          <w:sz w:val="24"/>
          <w:lang w:eastAsia="pt-PT"/>
        </w:rPr>
        <w:t xml:space="preserve"> da Propriedade Industrial anotado</w:t>
      </w:r>
      <w:r>
        <w:rPr>
          <w:rFonts w:ascii="Times New Roman" w:hAnsi="Times New Roman"/>
          <w:sz w:val="24"/>
        </w:rPr>
        <w:t xml:space="preserve">. </w:t>
      </w:r>
      <w:r>
        <w:rPr>
          <w:rFonts w:ascii="Times New Roman" w:hAnsi="Times New Roman"/>
          <w:sz w:val="24"/>
          <w:lang w:eastAsia="pt-PT"/>
        </w:rPr>
        <w:t xml:space="preserve">Cord. António Campinos/ Luís Couto Gonçalves. </w:t>
      </w:r>
      <w:r w:rsidRPr="00FE3077">
        <w:rPr>
          <w:rFonts w:ascii="Times New Roman" w:hAnsi="Times New Roman"/>
          <w:sz w:val="24"/>
          <w:lang w:val="en-US" w:eastAsia="pt-PT"/>
        </w:rPr>
        <w:t xml:space="preserve">Coimbra: </w:t>
      </w:r>
      <w:proofErr w:type="spellStart"/>
      <w:r w:rsidRPr="00FE3077">
        <w:rPr>
          <w:rFonts w:ascii="Times New Roman" w:hAnsi="Times New Roman"/>
          <w:sz w:val="24"/>
          <w:lang w:val="en-US" w:eastAsia="pt-PT"/>
        </w:rPr>
        <w:t>Almedina</w:t>
      </w:r>
      <w:proofErr w:type="spellEnd"/>
      <w:r w:rsidRPr="00FE3077">
        <w:rPr>
          <w:rFonts w:ascii="Times New Roman" w:hAnsi="Times New Roman"/>
          <w:sz w:val="24"/>
          <w:lang w:val="en-US" w:eastAsia="pt-PT"/>
        </w:rPr>
        <w:t>, 2010.</w:t>
      </w:r>
    </w:p>
    <w:p w:rsidR="00374B8E" w:rsidRPr="00FE3077" w:rsidRDefault="00374B8E" w:rsidP="00D97792">
      <w:pPr>
        <w:pStyle w:val="Textodenotaderodap"/>
        <w:rPr>
          <w:rFonts w:ascii="Times New Roman" w:hAnsi="Times New Roman"/>
          <w:sz w:val="24"/>
          <w:lang w:val="en-US" w:eastAsia="pt-PT"/>
        </w:rPr>
      </w:pPr>
    </w:p>
    <w:p w:rsidR="00374B8E" w:rsidRDefault="00374B8E" w:rsidP="00D97792">
      <w:pPr>
        <w:rPr>
          <w:rFonts w:ascii="Times New Roman" w:hAnsi="Times New Roman"/>
          <w:b/>
          <w:smallCaps/>
          <w:lang w:val="pt-PT" w:eastAsia="pt-PT"/>
        </w:rPr>
      </w:pPr>
      <w:r>
        <w:rPr>
          <w:rFonts w:ascii="Times New Roman" w:hAnsi="Times New Roman"/>
          <w:lang w:val="en-US" w:eastAsia="pt-PT"/>
        </w:rPr>
        <w:t xml:space="preserve">ABBOTT, Frederick. </w:t>
      </w:r>
      <w:r>
        <w:rPr>
          <w:rFonts w:ascii="Times New Roman" w:hAnsi="Times New Roman"/>
          <w:i/>
          <w:lang w:val="en-US" w:eastAsia="pt-PT"/>
        </w:rPr>
        <w:t>WTO Trips Agreement and Its Implications for Access to Medicines in Developing Countries</w:t>
      </w:r>
      <w:r>
        <w:rPr>
          <w:rFonts w:ascii="Times New Roman" w:hAnsi="Times New Roman"/>
          <w:lang w:val="en-US" w:eastAsia="pt-PT"/>
        </w:rPr>
        <w:t xml:space="preserve">, Study paper for the British </w:t>
      </w:r>
      <w:proofErr w:type="spellStart"/>
      <w:r>
        <w:rPr>
          <w:rFonts w:ascii="Times New Roman" w:hAnsi="Times New Roman"/>
          <w:lang w:val="en-US" w:eastAsia="pt-PT"/>
        </w:rPr>
        <w:t>Comission</w:t>
      </w:r>
      <w:proofErr w:type="spellEnd"/>
      <w:r>
        <w:rPr>
          <w:rFonts w:ascii="Times New Roman" w:hAnsi="Times New Roman"/>
          <w:lang w:val="en-US" w:eastAsia="pt-PT"/>
        </w:rPr>
        <w:t xml:space="preserve"> on Intellectual Property, 2002. </w:t>
      </w:r>
      <w:r>
        <w:rPr>
          <w:rFonts w:ascii="Times New Roman" w:hAnsi="Times New Roman"/>
          <w:lang w:val="pt-PT" w:eastAsia="pt-PT"/>
        </w:rPr>
        <w:lastRenderedPageBreak/>
        <w:t>Disponível em: &lt;www.</w:t>
      </w:r>
      <w:r>
        <w:rPr>
          <w:rFonts w:ascii="Times New Roman" w:hAnsi="Times New Roman"/>
          <w:bCs/>
          <w:lang w:val="pt-PT" w:eastAsia="pt-PT"/>
        </w:rPr>
        <w:t>frederickabbott</w:t>
      </w:r>
      <w:r>
        <w:rPr>
          <w:rFonts w:ascii="Times New Roman" w:hAnsi="Times New Roman"/>
          <w:lang w:val="pt-PT" w:eastAsia="pt-PT"/>
        </w:rPr>
        <w:t>.com/uploads/sp2a_</w:t>
      </w:r>
      <w:r>
        <w:rPr>
          <w:rFonts w:ascii="Times New Roman" w:hAnsi="Times New Roman"/>
          <w:bCs/>
          <w:lang w:val="pt-PT" w:eastAsia="pt-PT"/>
        </w:rPr>
        <w:t>abbott</w:t>
      </w:r>
      <w:r>
        <w:rPr>
          <w:rFonts w:ascii="Times New Roman" w:hAnsi="Times New Roman"/>
          <w:lang w:val="pt-PT" w:eastAsia="pt-PT"/>
        </w:rPr>
        <w:t>_study.pdf.&gt; Consultado em: 20.02.2011.</w:t>
      </w:r>
    </w:p>
    <w:p w:rsidR="00374B8E" w:rsidRDefault="00374B8E" w:rsidP="00D97792">
      <w:pPr>
        <w:pStyle w:val="Textodenotaderodap"/>
        <w:rPr>
          <w:rFonts w:ascii="Times New Roman" w:hAnsi="Times New Roman"/>
          <w:b/>
          <w:sz w:val="24"/>
          <w:lang w:eastAsia="pt-PT"/>
        </w:rPr>
      </w:pPr>
    </w:p>
    <w:p w:rsidR="00374B8E" w:rsidRDefault="00374B8E" w:rsidP="00D97792">
      <w:pPr>
        <w:pStyle w:val="Textodenotaderodap"/>
        <w:rPr>
          <w:rFonts w:ascii="Times New Roman" w:hAnsi="Times New Roman"/>
          <w:color w:val="000000"/>
          <w:sz w:val="24"/>
          <w:lang w:val="en-US" w:eastAsia="pt-PT"/>
        </w:rPr>
      </w:pPr>
      <w:r>
        <w:rPr>
          <w:rFonts w:ascii="Times New Roman" w:hAnsi="Times New Roman"/>
          <w:sz w:val="24"/>
          <w:lang w:val="en-US"/>
        </w:rPr>
        <w:t xml:space="preserve">ADOLF, </w:t>
      </w:r>
      <w:proofErr w:type="spellStart"/>
      <w:r>
        <w:rPr>
          <w:rFonts w:ascii="Times New Roman" w:hAnsi="Times New Roman"/>
          <w:sz w:val="24"/>
          <w:lang w:val="en-US"/>
        </w:rPr>
        <w:t>Huala</w:t>
      </w:r>
      <w:proofErr w:type="spellEnd"/>
      <w:r>
        <w:rPr>
          <w:rFonts w:ascii="Times New Roman" w:hAnsi="Times New Roman"/>
          <w:sz w:val="24"/>
          <w:lang w:val="en-US"/>
        </w:rPr>
        <w:t>. Trade-Related Aspects of Intellectual Property Rights and Developing Countries</w:t>
      </w:r>
      <w:r>
        <w:rPr>
          <w:rFonts w:ascii="Times New Roman" w:hAnsi="Times New Roman"/>
          <w:i/>
          <w:color w:val="000000"/>
          <w:sz w:val="24"/>
          <w:lang w:val="en-US" w:eastAsia="pt-PT"/>
        </w:rPr>
        <w:t xml:space="preserve"> The Developing Economies</w:t>
      </w:r>
      <w:r>
        <w:rPr>
          <w:rFonts w:ascii="Times New Roman" w:hAnsi="Times New Roman"/>
          <w:color w:val="000000"/>
          <w:sz w:val="24"/>
          <w:lang w:val="en-US" w:eastAsia="pt-PT"/>
        </w:rPr>
        <w:t>, XXXXIX, 1, 2001.</w:t>
      </w:r>
    </w:p>
    <w:p w:rsidR="00374B8E" w:rsidRDefault="00374B8E" w:rsidP="00D97792">
      <w:pPr>
        <w:pStyle w:val="Textodenotaderodap"/>
        <w:rPr>
          <w:rFonts w:ascii="Times New Roman" w:hAnsi="Times New Roman"/>
          <w:color w:val="000000"/>
          <w:sz w:val="24"/>
          <w:lang w:val="en-US" w:eastAsia="pt-PT"/>
        </w:rPr>
      </w:pPr>
    </w:p>
    <w:p w:rsidR="00374B8E" w:rsidRDefault="00374B8E" w:rsidP="00D97792">
      <w:pPr>
        <w:pStyle w:val="Textodenotaderodap"/>
        <w:rPr>
          <w:rFonts w:ascii="Times New Roman" w:hAnsi="Times New Roman"/>
          <w:sz w:val="24"/>
        </w:rPr>
      </w:pPr>
      <w:r>
        <w:rPr>
          <w:rFonts w:ascii="Times New Roman" w:hAnsi="Times New Roman"/>
          <w:sz w:val="24"/>
        </w:rPr>
        <w:t xml:space="preserve">ASCENSÃO, José Oliveira. Relatório Final de Actividade da Comissão de Acompanhamento do Código da Propriedade Industrial. </w:t>
      </w:r>
      <w:r>
        <w:rPr>
          <w:rFonts w:ascii="Times New Roman" w:hAnsi="Times New Roman"/>
          <w:i/>
          <w:color w:val="000000"/>
          <w:sz w:val="24"/>
          <w:lang w:eastAsia="pt-PT"/>
        </w:rPr>
        <w:t>Revista da Faculdade de Direito da Universidade de Lisboa</w:t>
      </w:r>
      <w:r>
        <w:rPr>
          <w:rFonts w:ascii="Times New Roman" w:hAnsi="Times New Roman"/>
          <w:color w:val="000000"/>
          <w:sz w:val="24"/>
          <w:lang w:eastAsia="pt-PT"/>
        </w:rPr>
        <w:t>, v.. XXXVIII, n. 1, 1997.</w:t>
      </w:r>
    </w:p>
    <w:p w:rsidR="00374B8E" w:rsidRDefault="00374B8E" w:rsidP="00D97792">
      <w:pPr>
        <w:pStyle w:val="Textodenotaderodap"/>
        <w:rPr>
          <w:rFonts w:ascii="Times New Roman" w:hAnsi="Times New Roman"/>
          <w:color w:val="000000"/>
          <w:sz w:val="24"/>
          <w:lang w:eastAsia="pt-PT"/>
        </w:rPr>
      </w:pPr>
    </w:p>
    <w:p w:rsidR="00374B8E" w:rsidRDefault="00374B8E" w:rsidP="00D97792">
      <w:pPr>
        <w:pStyle w:val="Textodenotaderodap"/>
        <w:rPr>
          <w:rFonts w:ascii="Times New Roman" w:hAnsi="Times New Roman"/>
          <w:b/>
          <w:sz w:val="24"/>
          <w:lang w:eastAsia="pt-PT"/>
        </w:rPr>
      </w:pPr>
      <w:r>
        <w:rPr>
          <w:rFonts w:ascii="Times New Roman" w:hAnsi="Times New Roman"/>
          <w:color w:val="000000"/>
          <w:sz w:val="24"/>
          <w:lang w:eastAsia="pt-PT"/>
        </w:rPr>
        <w:t xml:space="preserve">______. O Projecto de Código da Propriedade Industrial: Patentes, Modelos de Utilidade e Modelos e Desenhos Industriais», </w:t>
      </w:r>
      <w:r>
        <w:rPr>
          <w:rFonts w:ascii="Times New Roman" w:hAnsi="Times New Roman"/>
          <w:i/>
          <w:color w:val="000000"/>
          <w:sz w:val="24"/>
          <w:lang w:eastAsia="pt-PT"/>
        </w:rPr>
        <w:t>Revista da Faculdade de Direito da Universidade de Lisboa</w:t>
      </w:r>
      <w:r>
        <w:rPr>
          <w:rFonts w:ascii="Times New Roman" w:hAnsi="Times New Roman"/>
          <w:color w:val="000000"/>
          <w:sz w:val="24"/>
          <w:lang w:eastAsia="pt-PT"/>
        </w:rPr>
        <w:t xml:space="preserve"> , v. XXXVIII, n. 1, 1997.</w:t>
      </w:r>
    </w:p>
    <w:p w:rsidR="00374B8E" w:rsidRDefault="00374B8E" w:rsidP="00D97792">
      <w:pPr>
        <w:pStyle w:val="Textodenotaderodap"/>
        <w:rPr>
          <w:rFonts w:ascii="Times New Roman" w:hAnsi="Times New Roman"/>
          <w:b/>
          <w:sz w:val="24"/>
          <w:lang w:eastAsia="pt-PT"/>
        </w:rPr>
      </w:pPr>
    </w:p>
    <w:p w:rsidR="00374B8E" w:rsidRDefault="00374B8E" w:rsidP="00D97792">
      <w:pPr>
        <w:pStyle w:val="Textodenotaderodap"/>
        <w:rPr>
          <w:rFonts w:ascii="Times New Roman" w:hAnsi="Times New Roman"/>
          <w:color w:val="000000"/>
          <w:sz w:val="24"/>
          <w:lang w:eastAsia="pt-PT"/>
        </w:rPr>
      </w:pPr>
      <w:r>
        <w:rPr>
          <w:rFonts w:ascii="Times New Roman" w:hAnsi="Times New Roman"/>
          <w:color w:val="000000"/>
          <w:sz w:val="24"/>
          <w:lang w:val="en-US" w:eastAsia="pt-PT"/>
        </w:rPr>
        <w:t xml:space="preserve">BABIN, Mara L. Abuse of Trademarks: A Proposal for Compulsory Licensing, J.L. Reform, v. </w:t>
      </w:r>
      <w:proofErr w:type="gramStart"/>
      <w:r>
        <w:rPr>
          <w:rFonts w:ascii="Times New Roman" w:hAnsi="Times New Roman"/>
          <w:color w:val="000000"/>
          <w:sz w:val="24"/>
          <w:lang w:val="en-US" w:eastAsia="pt-PT"/>
        </w:rPr>
        <w:t>7</w:t>
      </w:r>
      <w:proofErr w:type="gramEnd"/>
      <w:r>
        <w:rPr>
          <w:rFonts w:ascii="Times New Roman" w:hAnsi="Times New Roman"/>
          <w:color w:val="000000"/>
          <w:sz w:val="24"/>
          <w:lang w:val="en-US" w:eastAsia="pt-PT"/>
        </w:rPr>
        <w:t xml:space="preserve">, 3, 1973-1974. </w:t>
      </w:r>
      <w:r>
        <w:rPr>
          <w:rFonts w:ascii="Times New Roman" w:hAnsi="Times New Roman"/>
          <w:color w:val="000000"/>
          <w:sz w:val="24"/>
          <w:lang w:eastAsia="pt-PT"/>
        </w:rPr>
        <w:t>Disponível em: &lt;</w:t>
      </w:r>
      <w:r>
        <w:rPr>
          <w:rFonts w:ascii="Times New Roman" w:hAnsi="Times New Roman"/>
          <w:sz w:val="24"/>
          <w:lang w:eastAsia="pt-PT"/>
        </w:rPr>
        <w:t>http://www.heinonline.org/HOL/Page?handle=hein.journals/umijlr7&amp;div=36&amp;collection=journals&amp;set_as_cursor=0&amp;men_tab=srchresults</w:t>
      </w:r>
      <w:r>
        <w:rPr>
          <w:rFonts w:ascii="Times New Roman" w:hAnsi="Times New Roman"/>
          <w:color w:val="000000"/>
          <w:sz w:val="24"/>
          <w:lang w:eastAsia="pt-PT"/>
        </w:rPr>
        <w:t>.&gt; Consultado em 22.06.11.</w:t>
      </w:r>
    </w:p>
    <w:p w:rsidR="00374B8E" w:rsidRDefault="00374B8E" w:rsidP="00D97792">
      <w:pPr>
        <w:pStyle w:val="Textodenotaderodap"/>
        <w:rPr>
          <w:rFonts w:ascii="Times New Roman" w:hAnsi="Times New Roman"/>
          <w:color w:val="000000"/>
          <w:sz w:val="24"/>
          <w:lang w:eastAsia="pt-PT"/>
        </w:rPr>
      </w:pPr>
    </w:p>
    <w:p w:rsidR="00374B8E" w:rsidRDefault="00374B8E" w:rsidP="00D97792">
      <w:pPr>
        <w:pStyle w:val="Textodenotaderodap"/>
        <w:rPr>
          <w:rFonts w:ascii="Times New Roman" w:hAnsi="Times New Roman"/>
          <w:b/>
          <w:sz w:val="24"/>
          <w:lang w:val="en-US" w:eastAsia="pt-PT"/>
        </w:rPr>
      </w:pPr>
      <w:r>
        <w:rPr>
          <w:rFonts w:ascii="Times New Roman" w:hAnsi="Times New Roman"/>
          <w:sz w:val="24"/>
        </w:rPr>
        <w:t xml:space="preserve">BARROS, Caldas E. Carlos. </w:t>
      </w:r>
      <w:r>
        <w:rPr>
          <w:rFonts w:ascii="Times New Roman" w:hAnsi="Times New Roman"/>
          <w:i/>
          <w:sz w:val="24"/>
        </w:rPr>
        <w:t>Aperfeiçoamento e Dependência em Patentes</w:t>
      </w:r>
      <w:r>
        <w:rPr>
          <w:rFonts w:ascii="Times New Roman" w:hAnsi="Times New Roman"/>
          <w:sz w:val="24"/>
        </w:rPr>
        <w:t xml:space="preserve">. </w:t>
      </w:r>
      <w:r>
        <w:rPr>
          <w:rFonts w:ascii="Times New Roman" w:hAnsi="Times New Roman"/>
          <w:sz w:val="24"/>
          <w:lang w:val="en-US"/>
        </w:rPr>
        <w:t>Rio de Janeiro: Lumen Juris, 2004.</w:t>
      </w:r>
    </w:p>
    <w:p w:rsidR="00374B8E" w:rsidRDefault="00374B8E" w:rsidP="00D97792">
      <w:pPr>
        <w:pStyle w:val="Textodenotaderodap"/>
        <w:rPr>
          <w:rFonts w:ascii="Times New Roman" w:hAnsi="Times New Roman"/>
          <w:b/>
          <w:sz w:val="24"/>
          <w:lang w:val="en-US" w:eastAsia="pt-PT"/>
        </w:rPr>
      </w:pPr>
    </w:p>
    <w:p w:rsidR="00374B8E" w:rsidRDefault="00374B8E" w:rsidP="00D97792">
      <w:pPr>
        <w:pStyle w:val="Textodenotaderodap"/>
        <w:rPr>
          <w:rFonts w:ascii="Times New Roman" w:hAnsi="Times New Roman"/>
          <w:sz w:val="24"/>
          <w:lang w:eastAsia="pt-PT"/>
        </w:rPr>
      </w:pPr>
      <w:r>
        <w:rPr>
          <w:rFonts w:ascii="Times New Roman" w:hAnsi="Times New Roman"/>
          <w:sz w:val="24"/>
          <w:lang w:val="en-US" w:eastAsia="pt-PT"/>
        </w:rPr>
        <w:t xml:space="preserve">CORREA, </w:t>
      </w:r>
      <w:r>
        <w:rPr>
          <w:rFonts w:ascii="Times New Roman" w:hAnsi="Times New Roman"/>
          <w:sz w:val="24"/>
          <w:lang w:val="en-US"/>
        </w:rPr>
        <w:t>Carlos</w:t>
      </w:r>
      <w:r>
        <w:rPr>
          <w:rFonts w:ascii="Times New Roman" w:hAnsi="Times New Roman"/>
          <w:sz w:val="24"/>
          <w:lang w:val="en-US" w:eastAsia="pt-PT"/>
        </w:rPr>
        <w:t xml:space="preserve">. </w:t>
      </w:r>
      <w:r>
        <w:rPr>
          <w:rFonts w:ascii="Times New Roman" w:hAnsi="Times New Roman"/>
          <w:i/>
          <w:sz w:val="24"/>
          <w:lang w:val="en-US"/>
        </w:rPr>
        <w:t>Intellectual Property Rights and the use of Compulsory Licenses: Options for Developing Countries</w:t>
      </w:r>
      <w:r>
        <w:rPr>
          <w:rFonts w:ascii="Times New Roman" w:hAnsi="Times New Roman"/>
          <w:sz w:val="24"/>
          <w:lang w:val="en-US"/>
        </w:rPr>
        <w:t xml:space="preserve">, Trade-Related Agenda, Development, and Equity, Working papers, South Center, </w:t>
      </w:r>
      <w:proofErr w:type="spellStart"/>
      <w:r>
        <w:rPr>
          <w:rFonts w:ascii="Times New Roman" w:hAnsi="Times New Roman"/>
          <w:sz w:val="24"/>
          <w:lang w:val="en-US"/>
        </w:rPr>
        <w:t>Geneve</w:t>
      </w:r>
      <w:proofErr w:type="spellEnd"/>
      <w:r>
        <w:rPr>
          <w:rFonts w:ascii="Times New Roman" w:hAnsi="Times New Roman"/>
          <w:sz w:val="24"/>
          <w:lang w:val="en-US"/>
        </w:rPr>
        <w:t xml:space="preserve">, 1999.  </w:t>
      </w:r>
      <w:r>
        <w:rPr>
          <w:rFonts w:ascii="Times New Roman" w:hAnsi="Times New Roman"/>
          <w:sz w:val="24"/>
        </w:rPr>
        <w:t>Disponível em: &lt;http://www.southcentre.org/index.php?option=com_content&amp;task=view&amp;id=75&amp;Itemid=1&gt;.</w:t>
      </w:r>
      <w:r>
        <w:rPr>
          <w:rFonts w:ascii="Times New Roman" w:hAnsi="Times New Roman"/>
          <w:sz w:val="24"/>
          <w:lang w:eastAsia="pt-PT"/>
        </w:rPr>
        <w:t>Consultado em: 17.01.2011.</w:t>
      </w:r>
    </w:p>
    <w:p w:rsidR="00374B8E" w:rsidRDefault="00374B8E" w:rsidP="00D97792">
      <w:pPr>
        <w:pStyle w:val="Textodenotaderodap"/>
        <w:rPr>
          <w:rFonts w:ascii="Times New Roman" w:hAnsi="Times New Roman"/>
          <w:sz w:val="24"/>
          <w:u w:val="single"/>
          <w:lang w:eastAsia="pt-PT"/>
        </w:rPr>
      </w:pPr>
    </w:p>
    <w:p w:rsidR="00374B8E" w:rsidRDefault="00374B8E" w:rsidP="00D97792">
      <w:pPr>
        <w:pStyle w:val="Textodenotaderodap"/>
        <w:rPr>
          <w:rFonts w:ascii="Times New Roman" w:hAnsi="Times New Roman"/>
          <w:sz w:val="24"/>
          <w:lang w:val="en-US"/>
        </w:rPr>
      </w:pPr>
      <w:r>
        <w:rPr>
          <w:rFonts w:ascii="Times New Roman" w:hAnsi="Times New Roman"/>
          <w:sz w:val="24"/>
          <w:lang w:val="en-US"/>
        </w:rPr>
        <w:t xml:space="preserve">______. </w:t>
      </w:r>
      <w:r>
        <w:rPr>
          <w:rFonts w:ascii="Times New Roman" w:hAnsi="Times New Roman"/>
          <w:i/>
          <w:sz w:val="24"/>
          <w:lang w:val="en-US"/>
        </w:rPr>
        <w:t xml:space="preserve">Intellectual property </w:t>
      </w:r>
      <w:proofErr w:type="spellStart"/>
      <w:r>
        <w:rPr>
          <w:rFonts w:ascii="Times New Roman" w:hAnsi="Times New Roman"/>
          <w:i/>
          <w:sz w:val="24"/>
          <w:lang w:val="en-US"/>
        </w:rPr>
        <w:t>rigths</w:t>
      </w:r>
      <w:proofErr w:type="spellEnd"/>
      <w:r>
        <w:rPr>
          <w:rFonts w:ascii="Times New Roman" w:hAnsi="Times New Roman"/>
          <w:i/>
          <w:sz w:val="24"/>
          <w:lang w:val="en-US"/>
        </w:rPr>
        <w:t>, the WTO and developing countries</w:t>
      </w:r>
      <w:r>
        <w:rPr>
          <w:rFonts w:ascii="Times New Roman" w:hAnsi="Times New Roman"/>
          <w:sz w:val="24"/>
          <w:lang w:val="en-US"/>
        </w:rPr>
        <w:t>, London, 2000.</w:t>
      </w:r>
    </w:p>
    <w:p w:rsidR="00374B8E" w:rsidRDefault="00374B8E" w:rsidP="00D97792">
      <w:pPr>
        <w:pStyle w:val="Textodenotaderodap"/>
        <w:rPr>
          <w:rFonts w:ascii="Times New Roman" w:hAnsi="Times New Roman"/>
          <w:sz w:val="24"/>
          <w:lang w:val="en-US"/>
        </w:rPr>
      </w:pPr>
    </w:p>
    <w:p w:rsidR="00374B8E" w:rsidRDefault="00374B8E" w:rsidP="00D97792">
      <w:pPr>
        <w:pStyle w:val="Textodenotaderodap"/>
        <w:rPr>
          <w:rFonts w:ascii="Times New Roman" w:hAnsi="Times New Roman"/>
          <w:sz w:val="24"/>
          <w:lang w:val="en-US" w:eastAsia="pt-PT"/>
        </w:rPr>
      </w:pPr>
      <w:r>
        <w:rPr>
          <w:rFonts w:ascii="Times New Roman" w:hAnsi="Times New Roman"/>
          <w:i/>
          <w:sz w:val="24"/>
          <w:lang w:val="en-US"/>
        </w:rPr>
        <w:t xml:space="preserve">______.  Implications of </w:t>
      </w:r>
      <w:proofErr w:type="gramStart"/>
      <w:r>
        <w:rPr>
          <w:rFonts w:ascii="Times New Roman" w:hAnsi="Times New Roman"/>
          <w:i/>
          <w:sz w:val="24"/>
          <w:lang w:val="en-US"/>
        </w:rPr>
        <w:t>The</w:t>
      </w:r>
      <w:proofErr w:type="gramEnd"/>
      <w:r>
        <w:rPr>
          <w:rFonts w:ascii="Times New Roman" w:hAnsi="Times New Roman"/>
          <w:i/>
          <w:sz w:val="24"/>
          <w:lang w:val="en-US"/>
        </w:rPr>
        <w:t xml:space="preserve"> Doha Declaration on The Trips Agreement and Public Health</w:t>
      </w:r>
      <w:r>
        <w:rPr>
          <w:rFonts w:ascii="Times New Roman" w:hAnsi="Times New Roman"/>
          <w:sz w:val="24"/>
          <w:lang w:val="en-US"/>
        </w:rPr>
        <w:t xml:space="preserve">, </w:t>
      </w:r>
      <w:r>
        <w:rPr>
          <w:rFonts w:ascii="Times New Roman" w:hAnsi="Times New Roman"/>
          <w:sz w:val="24"/>
          <w:lang w:val="en-US" w:eastAsia="pt-PT"/>
        </w:rPr>
        <w:t xml:space="preserve">World Health Organization, Buenos Aires, 2002. </w:t>
      </w:r>
      <w:proofErr w:type="spellStart"/>
      <w:proofErr w:type="gramStart"/>
      <w:r>
        <w:rPr>
          <w:rFonts w:ascii="Times New Roman" w:hAnsi="Times New Roman"/>
          <w:sz w:val="24"/>
          <w:lang w:val="en-US" w:eastAsia="pt-PT"/>
        </w:rPr>
        <w:t>disponível</w:t>
      </w:r>
      <w:proofErr w:type="spellEnd"/>
      <w:proofErr w:type="gramEnd"/>
      <w:r>
        <w:rPr>
          <w:rFonts w:ascii="Times New Roman" w:hAnsi="Times New Roman"/>
          <w:sz w:val="24"/>
          <w:lang w:val="en-US" w:eastAsia="pt-PT"/>
        </w:rPr>
        <w:t xml:space="preserve"> </w:t>
      </w:r>
      <w:proofErr w:type="spellStart"/>
      <w:r>
        <w:rPr>
          <w:rFonts w:ascii="Times New Roman" w:hAnsi="Times New Roman"/>
          <w:sz w:val="24"/>
          <w:lang w:val="en-US" w:eastAsia="pt-PT"/>
        </w:rPr>
        <w:t>em</w:t>
      </w:r>
      <w:proofErr w:type="spellEnd"/>
      <w:r>
        <w:rPr>
          <w:rFonts w:ascii="Times New Roman" w:hAnsi="Times New Roman"/>
          <w:sz w:val="24"/>
          <w:lang w:val="en-US" w:eastAsia="pt-PT"/>
        </w:rPr>
        <w:t>: &lt;http://www.who.int/medicines/areas/policy/WHO_EDM_PAR_2002.3.pdf&gt;</w:t>
      </w:r>
      <w:r>
        <w:rPr>
          <w:rFonts w:ascii="Times New Roman" w:hAnsi="Times New Roman"/>
          <w:sz w:val="24"/>
          <w:lang w:val="en-US"/>
        </w:rPr>
        <w:t xml:space="preserve">. </w:t>
      </w:r>
      <w:proofErr w:type="spellStart"/>
      <w:r>
        <w:rPr>
          <w:rFonts w:ascii="Times New Roman" w:hAnsi="Times New Roman"/>
          <w:sz w:val="24"/>
          <w:lang w:val="en-US"/>
        </w:rPr>
        <w:t>Consultado</w:t>
      </w:r>
      <w:proofErr w:type="spellEnd"/>
      <w:r>
        <w:rPr>
          <w:rFonts w:ascii="Times New Roman" w:hAnsi="Times New Roman"/>
          <w:sz w:val="24"/>
          <w:lang w:val="en-US"/>
        </w:rPr>
        <w:t xml:space="preserve"> </w:t>
      </w:r>
      <w:proofErr w:type="spellStart"/>
      <w:r>
        <w:rPr>
          <w:rFonts w:ascii="Times New Roman" w:hAnsi="Times New Roman"/>
          <w:sz w:val="24"/>
          <w:lang w:val="en-US"/>
        </w:rPr>
        <w:t>em</w:t>
      </w:r>
      <w:proofErr w:type="spellEnd"/>
      <w:r>
        <w:rPr>
          <w:rFonts w:ascii="Times New Roman" w:hAnsi="Times New Roman"/>
          <w:sz w:val="24"/>
          <w:lang w:val="en-US"/>
        </w:rPr>
        <w:t>: 17.01.2011.</w:t>
      </w:r>
    </w:p>
    <w:p w:rsidR="00374B8E" w:rsidRDefault="00374B8E" w:rsidP="00D97792">
      <w:pPr>
        <w:pStyle w:val="Textodenotaderodap"/>
        <w:rPr>
          <w:rFonts w:ascii="Times New Roman" w:hAnsi="Times New Roman"/>
          <w:sz w:val="24"/>
          <w:u w:val="single"/>
          <w:lang w:val="en-US" w:eastAsia="pt-PT"/>
        </w:rPr>
      </w:pPr>
    </w:p>
    <w:p w:rsidR="00374B8E" w:rsidRDefault="00374B8E" w:rsidP="00D97792">
      <w:pPr>
        <w:pStyle w:val="Textodenotaderodap"/>
        <w:rPr>
          <w:rFonts w:ascii="Times New Roman" w:hAnsi="Times New Roman"/>
          <w:sz w:val="24"/>
          <w:lang w:val="en-GB"/>
        </w:rPr>
      </w:pPr>
      <w:r>
        <w:rPr>
          <w:rFonts w:ascii="Times New Roman" w:hAnsi="Times New Roman"/>
          <w:sz w:val="24"/>
          <w:lang w:val="en-US" w:eastAsia="pt-PT"/>
        </w:rPr>
        <w:t>______.</w:t>
      </w:r>
      <w:r>
        <w:rPr>
          <w:rFonts w:ascii="Times New Roman" w:hAnsi="Times New Roman"/>
          <w:sz w:val="24"/>
          <w:lang w:val="en-GB"/>
        </w:rPr>
        <w:t xml:space="preserve">Patent Rights, </w:t>
      </w:r>
      <w:r>
        <w:rPr>
          <w:rFonts w:ascii="Times New Roman" w:hAnsi="Times New Roman"/>
          <w:i/>
          <w:sz w:val="24"/>
          <w:lang w:val="en-GB"/>
        </w:rPr>
        <w:t>Intellectual property and international trade: the TRIPS agreement</w:t>
      </w:r>
      <w:r>
        <w:rPr>
          <w:rFonts w:ascii="Times New Roman" w:hAnsi="Times New Roman"/>
          <w:sz w:val="24"/>
          <w:lang w:val="en-GB"/>
        </w:rPr>
        <w:t xml:space="preserve">, ed. Carlos M. Correa, </w:t>
      </w:r>
      <w:proofErr w:type="spellStart"/>
      <w:r>
        <w:rPr>
          <w:rFonts w:ascii="Times New Roman" w:hAnsi="Times New Roman"/>
          <w:sz w:val="24"/>
          <w:lang w:val="en-GB"/>
        </w:rPr>
        <w:t>Abdulqawi</w:t>
      </w:r>
      <w:proofErr w:type="spellEnd"/>
      <w:r>
        <w:rPr>
          <w:rFonts w:ascii="Times New Roman" w:hAnsi="Times New Roman"/>
          <w:sz w:val="24"/>
          <w:lang w:val="en-GB"/>
        </w:rPr>
        <w:t xml:space="preserve"> A. Yusuf, 2nd </w:t>
      </w:r>
      <w:proofErr w:type="spellStart"/>
      <w:r>
        <w:rPr>
          <w:rFonts w:ascii="Times New Roman" w:hAnsi="Times New Roman"/>
          <w:sz w:val="24"/>
          <w:lang w:val="en-GB"/>
        </w:rPr>
        <w:t>ed</w:t>
      </w:r>
      <w:proofErr w:type="spellEnd"/>
      <w:r>
        <w:rPr>
          <w:rFonts w:ascii="Times New Roman" w:hAnsi="Times New Roman"/>
          <w:sz w:val="24"/>
          <w:lang w:val="en-GB"/>
        </w:rPr>
        <w:t xml:space="preserve">, Alphen </w:t>
      </w:r>
      <w:proofErr w:type="spellStart"/>
      <w:r>
        <w:rPr>
          <w:rFonts w:ascii="Times New Roman" w:hAnsi="Times New Roman"/>
          <w:sz w:val="24"/>
          <w:lang w:val="en-GB"/>
        </w:rPr>
        <w:t>aan</w:t>
      </w:r>
      <w:proofErr w:type="spellEnd"/>
      <w:r>
        <w:rPr>
          <w:rFonts w:ascii="Times New Roman" w:hAnsi="Times New Roman"/>
          <w:sz w:val="24"/>
          <w:lang w:val="en-GB"/>
        </w:rPr>
        <w:t xml:space="preserve"> den Rijn, Kluwer law International, 2008</w:t>
      </w:r>
    </w:p>
    <w:p w:rsidR="00374B8E" w:rsidRDefault="00374B8E" w:rsidP="00D97792">
      <w:pPr>
        <w:pStyle w:val="Textodenotaderodap"/>
        <w:rPr>
          <w:rFonts w:ascii="Times New Roman" w:hAnsi="Times New Roman"/>
          <w:sz w:val="24"/>
          <w:lang w:val="en-GB"/>
        </w:rPr>
      </w:pPr>
    </w:p>
    <w:p w:rsidR="00374B8E" w:rsidRDefault="00374B8E" w:rsidP="00D97792">
      <w:pPr>
        <w:pStyle w:val="Textodenotaderodap"/>
        <w:rPr>
          <w:rFonts w:ascii="Times New Roman" w:hAnsi="Times New Roman"/>
          <w:sz w:val="24"/>
          <w:lang w:eastAsia="pt-PT"/>
        </w:rPr>
      </w:pPr>
      <w:r>
        <w:rPr>
          <w:rFonts w:ascii="Times New Roman" w:hAnsi="Times New Roman"/>
          <w:sz w:val="24"/>
        </w:rPr>
        <w:t xml:space="preserve">CORREA, Carlos; BERGEL, Salvador D. </w:t>
      </w:r>
      <w:r>
        <w:rPr>
          <w:rFonts w:ascii="Times New Roman" w:hAnsi="Times New Roman"/>
          <w:i/>
          <w:sz w:val="24"/>
        </w:rPr>
        <w:t>Patentes  y Competencia</w:t>
      </w:r>
      <w:r>
        <w:rPr>
          <w:rFonts w:ascii="Times New Roman" w:hAnsi="Times New Roman"/>
          <w:sz w:val="24"/>
        </w:rPr>
        <w:t xml:space="preserve">. </w:t>
      </w:r>
      <w:r>
        <w:rPr>
          <w:rFonts w:ascii="Times New Roman" w:hAnsi="Times New Roman"/>
          <w:sz w:val="24"/>
          <w:lang w:eastAsia="pt-PT"/>
        </w:rPr>
        <w:t>Argentina:  Culzoni, 1996.</w:t>
      </w:r>
    </w:p>
    <w:p w:rsidR="00374B8E" w:rsidRDefault="00374B8E" w:rsidP="00D97792">
      <w:pPr>
        <w:pStyle w:val="Textodenotaderodap"/>
        <w:rPr>
          <w:rFonts w:ascii="Times New Roman" w:hAnsi="Times New Roman"/>
          <w:sz w:val="24"/>
          <w:u w:val="single"/>
          <w:lang w:eastAsia="pt-PT"/>
        </w:rPr>
      </w:pPr>
    </w:p>
    <w:p w:rsidR="00374B8E" w:rsidRDefault="00374B8E" w:rsidP="00D97792">
      <w:pPr>
        <w:pStyle w:val="Textodenotaderodap"/>
        <w:rPr>
          <w:rFonts w:ascii="Times New Roman" w:hAnsi="Times New Roman"/>
          <w:sz w:val="24"/>
          <w:u w:val="single"/>
          <w:lang w:val="en-US" w:eastAsia="pt-PT"/>
        </w:rPr>
      </w:pPr>
      <w:r>
        <w:rPr>
          <w:rFonts w:ascii="Times New Roman" w:hAnsi="Times New Roman"/>
          <w:sz w:val="24"/>
        </w:rPr>
        <w:t xml:space="preserve">CARVALHO, Nuno Pires de. </w:t>
      </w:r>
      <w:r>
        <w:rPr>
          <w:rFonts w:ascii="Times New Roman" w:hAnsi="Times New Roman"/>
          <w:i/>
          <w:iCs/>
          <w:sz w:val="24"/>
          <w:lang w:val="en-GB"/>
        </w:rPr>
        <w:t>The trips regime of patent rights</w:t>
      </w:r>
      <w:r>
        <w:rPr>
          <w:rFonts w:ascii="Times New Roman" w:hAnsi="Times New Roman"/>
          <w:iCs/>
          <w:sz w:val="24"/>
          <w:lang w:val="en-US"/>
        </w:rPr>
        <w:t>. London: Kluwer Law International, 2002.</w:t>
      </w:r>
    </w:p>
    <w:p w:rsidR="00374B8E" w:rsidRDefault="00374B8E" w:rsidP="00D97792">
      <w:pPr>
        <w:pStyle w:val="Textodenotaderodap"/>
        <w:rPr>
          <w:rFonts w:ascii="Times New Roman" w:hAnsi="Times New Roman"/>
          <w:sz w:val="24"/>
          <w:u w:val="single"/>
          <w:lang w:val="en-US" w:eastAsia="pt-PT"/>
        </w:rPr>
      </w:pPr>
    </w:p>
    <w:p w:rsidR="00374B8E" w:rsidRDefault="00374B8E" w:rsidP="00D97792">
      <w:pPr>
        <w:pStyle w:val="Textodenotaderodap"/>
        <w:rPr>
          <w:rFonts w:ascii="Times New Roman" w:hAnsi="Times New Roman"/>
          <w:sz w:val="24"/>
          <w:lang w:val="en-US"/>
        </w:rPr>
      </w:pPr>
      <w:r>
        <w:rPr>
          <w:rFonts w:ascii="Times New Roman" w:hAnsi="Times New Roman"/>
          <w:sz w:val="24"/>
          <w:lang w:val="en-US"/>
        </w:rPr>
        <w:t xml:space="preserve">CHATAP, Florence. </w:t>
      </w:r>
      <w:proofErr w:type="gramStart"/>
      <w:r>
        <w:rPr>
          <w:rFonts w:ascii="Times New Roman" w:hAnsi="Times New Roman"/>
          <w:i/>
          <w:sz w:val="24"/>
          <w:lang w:val="en-US"/>
        </w:rPr>
        <w:t>La</w:t>
      </w:r>
      <w:proofErr w:type="gramEnd"/>
      <w:r>
        <w:rPr>
          <w:rFonts w:ascii="Times New Roman" w:hAnsi="Times New Roman"/>
          <w:i/>
          <w:sz w:val="24"/>
          <w:lang w:val="en-US"/>
        </w:rPr>
        <w:t xml:space="preserve"> </w:t>
      </w:r>
      <w:proofErr w:type="spellStart"/>
      <w:r>
        <w:rPr>
          <w:rFonts w:ascii="Times New Roman" w:hAnsi="Times New Roman"/>
          <w:i/>
          <w:sz w:val="24"/>
          <w:lang w:val="en-US"/>
        </w:rPr>
        <w:t>Licence</w:t>
      </w:r>
      <w:proofErr w:type="spellEnd"/>
      <w:r>
        <w:rPr>
          <w:rFonts w:ascii="Times New Roman" w:hAnsi="Times New Roman"/>
          <w:i/>
          <w:sz w:val="24"/>
          <w:lang w:val="en-US"/>
        </w:rPr>
        <w:t xml:space="preserve"> </w:t>
      </w:r>
      <w:proofErr w:type="spellStart"/>
      <w:r>
        <w:rPr>
          <w:rFonts w:ascii="Times New Roman" w:hAnsi="Times New Roman"/>
          <w:i/>
          <w:sz w:val="24"/>
          <w:lang w:val="en-US"/>
        </w:rPr>
        <w:t>Obligatoire</w:t>
      </w:r>
      <w:proofErr w:type="spellEnd"/>
      <w:r>
        <w:rPr>
          <w:rFonts w:ascii="Times New Roman" w:hAnsi="Times New Roman"/>
          <w:i/>
          <w:sz w:val="24"/>
          <w:lang w:val="en-US"/>
        </w:rPr>
        <w:t xml:space="preserve"> </w:t>
      </w:r>
      <w:proofErr w:type="spellStart"/>
      <w:r>
        <w:rPr>
          <w:rFonts w:ascii="Times New Roman" w:hAnsi="Times New Roman"/>
          <w:i/>
          <w:sz w:val="24"/>
          <w:lang w:val="en-US"/>
        </w:rPr>
        <w:t>comme</w:t>
      </w:r>
      <w:proofErr w:type="spellEnd"/>
      <w:r>
        <w:rPr>
          <w:rFonts w:ascii="Times New Roman" w:hAnsi="Times New Roman"/>
          <w:i/>
          <w:sz w:val="24"/>
          <w:lang w:val="en-US"/>
        </w:rPr>
        <w:t xml:space="preserve"> sanction Du </w:t>
      </w:r>
      <w:proofErr w:type="spellStart"/>
      <w:r>
        <w:rPr>
          <w:rFonts w:ascii="Times New Roman" w:hAnsi="Times New Roman"/>
          <w:i/>
          <w:sz w:val="24"/>
          <w:lang w:val="en-US"/>
        </w:rPr>
        <w:t>defaut</w:t>
      </w:r>
      <w:proofErr w:type="spellEnd"/>
      <w:r>
        <w:rPr>
          <w:rFonts w:ascii="Times New Roman" w:hAnsi="Times New Roman"/>
          <w:i/>
          <w:sz w:val="24"/>
          <w:lang w:val="en-US"/>
        </w:rPr>
        <w:t xml:space="preserve"> </w:t>
      </w:r>
      <w:proofErr w:type="spellStart"/>
      <w:r>
        <w:rPr>
          <w:rFonts w:ascii="Times New Roman" w:hAnsi="Times New Roman"/>
          <w:i/>
          <w:sz w:val="24"/>
          <w:lang w:val="en-US"/>
        </w:rPr>
        <w:t>d´exploitation</w:t>
      </w:r>
      <w:proofErr w:type="spellEnd"/>
      <w:r>
        <w:rPr>
          <w:rFonts w:ascii="Times New Roman" w:hAnsi="Times New Roman"/>
          <w:i/>
          <w:sz w:val="24"/>
          <w:lang w:val="en-US"/>
        </w:rPr>
        <w:t xml:space="preserve"> des brevets </w:t>
      </w:r>
      <w:proofErr w:type="spellStart"/>
      <w:r>
        <w:rPr>
          <w:rFonts w:ascii="Times New Roman" w:hAnsi="Times New Roman"/>
          <w:i/>
          <w:sz w:val="24"/>
          <w:lang w:val="en-US"/>
        </w:rPr>
        <w:t>d´invention</w:t>
      </w:r>
      <w:proofErr w:type="spellEnd"/>
      <w:r>
        <w:rPr>
          <w:rFonts w:ascii="Times New Roman" w:hAnsi="Times New Roman"/>
          <w:i/>
          <w:sz w:val="24"/>
          <w:lang w:val="en-US"/>
        </w:rPr>
        <w:t xml:space="preserve"> </w:t>
      </w:r>
      <w:proofErr w:type="spellStart"/>
      <w:r>
        <w:rPr>
          <w:rFonts w:ascii="Times New Roman" w:hAnsi="Times New Roman"/>
          <w:i/>
          <w:sz w:val="24"/>
          <w:lang w:val="en-US"/>
        </w:rPr>
        <w:t>dans</w:t>
      </w:r>
      <w:proofErr w:type="spellEnd"/>
      <w:r>
        <w:rPr>
          <w:rFonts w:ascii="Times New Roman" w:hAnsi="Times New Roman"/>
          <w:i/>
          <w:sz w:val="24"/>
          <w:lang w:val="en-US"/>
        </w:rPr>
        <w:t xml:space="preserve"> </w:t>
      </w:r>
      <w:proofErr w:type="spellStart"/>
      <w:r>
        <w:rPr>
          <w:rFonts w:ascii="Times New Roman" w:hAnsi="Times New Roman"/>
          <w:i/>
          <w:sz w:val="24"/>
          <w:lang w:val="en-US"/>
        </w:rPr>
        <w:t>lês</w:t>
      </w:r>
      <w:proofErr w:type="spellEnd"/>
      <w:r>
        <w:rPr>
          <w:rFonts w:ascii="Times New Roman" w:hAnsi="Times New Roman"/>
          <w:i/>
          <w:sz w:val="24"/>
          <w:lang w:val="en-US"/>
        </w:rPr>
        <w:t xml:space="preserve"> Pays en </w:t>
      </w:r>
      <w:proofErr w:type="spellStart"/>
      <w:r>
        <w:rPr>
          <w:rFonts w:ascii="Times New Roman" w:hAnsi="Times New Roman"/>
          <w:i/>
          <w:sz w:val="24"/>
          <w:lang w:val="en-US"/>
        </w:rPr>
        <w:t>Developpement</w:t>
      </w:r>
      <w:proofErr w:type="spellEnd"/>
      <w:r>
        <w:rPr>
          <w:rFonts w:ascii="Times New Roman" w:hAnsi="Times New Roman"/>
          <w:sz w:val="24"/>
          <w:lang w:val="en-US"/>
        </w:rPr>
        <w:t xml:space="preserve">. Paris: Presses </w:t>
      </w:r>
      <w:proofErr w:type="spellStart"/>
      <w:r>
        <w:rPr>
          <w:rFonts w:ascii="Times New Roman" w:hAnsi="Times New Roman"/>
          <w:sz w:val="24"/>
          <w:lang w:val="en-US"/>
        </w:rPr>
        <w:t>Universitaires</w:t>
      </w:r>
      <w:proofErr w:type="spellEnd"/>
      <w:r>
        <w:rPr>
          <w:rFonts w:ascii="Times New Roman" w:hAnsi="Times New Roman"/>
          <w:sz w:val="24"/>
          <w:lang w:val="en-US"/>
        </w:rPr>
        <w:t xml:space="preserve"> de France, 1986.</w:t>
      </w:r>
    </w:p>
    <w:p w:rsidR="00374B8E" w:rsidRDefault="00374B8E" w:rsidP="00D97792">
      <w:pPr>
        <w:pStyle w:val="Textodenotaderodap"/>
        <w:rPr>
          <w:rFonts w:ascii="Times New Roman" w:hAnsi="Times New Roman"/>
          <w:sz w:val="24"/>
          <w:lang w:val="en-US"/>
        </w:rPr>
      </w:pPr>
    </w:p>
    <w:p w:rsidR="00374B8E" w:rsidRDefault="00374B8E" w:rsidP="00D97792">
      <w:pPr>
        <w:rPr>
          <w:rFonts w:ascii="Times New Roman" w:hAnsi="Times New Roman"/>
          <w:lang w:val="pt-PT" w:eastAsia="pt-PT"/>
        </w:rPr>
      </w:pPr>
      <w:r>
        <w:rPr>
          <w:rFonts w:ascii="Times New Roman" w:hAnsi="Times New Roman"/>
          <w:lang w:val="en-GB" w:eastAsia="pt-PT"/>
        </w:rPr>
        <w:lastRenderedPageBreak/>
        <w:t xml:space="preserve">FORD, S. M. Compulsory licensing Provisions </w:t>
      </w:r>
      <w:proofErr w:type="gramStart"/>
      <w:r>
        <w:rPr>
          <w:rFonts w:ascii="Times New Roman" w:hAnsi="Times New Roman"/>
          <w:lang w:val="en-GB" w:eastAsia="pt-PT"/>
        </w:rPr>
        <w:t>Under</w:t>
      </w:r>
      <w:proofErr w:type="gramEnd"/>
      <w:r>
        <w:rPr>
          <w:rFonts w:ascii="Times New Roman" w:hAnsi="Times New Roman"/>
          <w:lang w:val="en-GB" w:eastAsia="pt-PT"/>
        </w:rPr>
        <w:t xml:space="preserve"> the Trips Agreement: Balancing Bills and Patents, </w:t>
      </w:r>
      <w:r>
        <w:rPr>
          <w:rFonts w:ascii="Times New Roman" w:hAnsi="Times New Roman"/>
          <w:i/>
          <w:lang w:val="en-GB" w:eastAsia="pt-PT"/>
        </w:rPr>
        <w:t>American University International Review</w:t>
      </w:r>
      <w:r>
        <w:rPr>
          <w:rFonts w:ascii="Times New Roman" w:hAnsi="Times New Roman"/>
          <w:lang w:val="en-GB" w:eastAsia="pt-PT"/>
        </w:rPr>
        <w:t xml:space="preserve">, v. 14, 2000. </w:t>
      </w:r>
      <w:r>
        <w:rPr>
          <w:rFonts w:ascii="Times New Roman" w:hAnsi="Times New Roman"/>
          <w:lang w:val="pt-PT" w:eastAsia="pt-PT"/>
        </w:rPr>
        <w:t>Disponível em: &lt;</w:t>
      </w:r>
      <w:r>
        <w:rPr>
          <w:rFonts w:ascii="Times New Roman" w:hAnsi="Times New Roman"/>
          <w:lang w:val="pt-PT"/>
        </w:rPr>
        <w:t>http://www.auilr.org/pdf/15/15-4-5.pdf &gt;. Consultado em 10.02.2011.</w:t>
      </w:r>
    </w:p>
    <w:p w:rsidR="00374B8E" w:rsidRDefault="00374B8E" w:rsidP="00D97792">
      <w:pPr>
        <w:pStyle w:val="Textodenotaderodap"/>
        <w:rPr>
          <w:rFonts w:ascii="Times New Roman" w:hAnsi="Times New Roman"/>
          <w:sz w:val="24"/>
          <w:u w:val="single"/>
          <w:lang w:eastAsia="pt-PT"/>
        </w:rPr>
      </w:pPr>
    </w:p>
    <w:p w:rsidR="00374B8E" w:rsidRPr="00FE3077" w:rsidRDefault="00374B8E" w:rsidP="00D97792">
      <w:pPr>
        <w:pStyle w:val="Textodenotaderodap"/>
        <w:rPr>
          <w:rFonts w:ascii="Times New Roman" w:hAnsi="Times New Roman"/>
          <w:sz w:val="24"/>
          <w:lang w:val="pt-BR" w:eastAsia="pt-PT"/>
        </w:rPr>
      </w:pPr>
      <w:r>
        <w:rPr>
          <w:rFonts w:ascii="Times New Roman" w:hAnsi="Times New Roman"/>
          <w:sz w:val="24"/>
          <w:lang w:val="en-GB" w:eastAsia="pt-PT"/>
        </w:rPr>
        <w:t xml:space="preserve">GERVAIS, Daniel, </w:t>
      </w:r>
      <w:proofErr w:type="gramStart"/>
      <w:r>
        <w:rPr>
          <w:rFonts w:ascii="Times New Roman" w:hAnsi="Times New Roman"/>
          <w:i/>
          <w:sz w:val="24"/>
          <w:lang w:val="en-GB" w:eastAsia="pt-PT"/>
        </w:rPr>
        <w:t>The</w:t>
      </w:r>
      <w:proofErr w:type="gramEnd"/>
      <w:r>
        <w:rPr>
          <w:rFonts w:ascii="Times New Roman" w:hAnsi="Times New Roman"/>
          <w:i/>
          <w:sz w:val="24"/>
          <w:lang w:val="en-GB" w:eastAsia="pt-PT"/>
        </w:rPr>
        <w:t xml:space="preserve"> TRIPS Agreement: Drafting History and Analysis</w:t>
      </w:r>
      <w:r>
        <w:rPr>
          <w:rFonts w:ascii="Times New Roman" w:hAnsi="Times New Roman"/>
          <w:sz w:val="24"/>
          <w:lang w:val="en-GB" w:eastAsia="pt-PT"/>
        </w:rPr>
        <w:t xml:space="preserve">. </w:t>
      </w:r>
      <w:r w:rsidRPr="00FE3077">
        <w:rPr>
          <w:rFonts w:ascii="Times New Roman" w:hAnsi="Times New Roman"/>
          <w:sz w:val="24"/>
          <w:lang w:val="pt-BR" w:eastAsia="pt-PT"/>
        </w:rPr>
        <w:t xml:space="preserve">2. ed. London: </w:t>
      </w:r>
      <w:proofErr w:type="spellStart"/>
      <w:r w:rsidRPr="00FE3077">
        <w:rPr>
          <w:rFonts w:ascii="Times New Roman" w:hAnsi="Times New Roman"/>
          <w:sz w:val="24"/>
          <w:lang w:val="pt-BR" w:eastAsia="pt-PT"/>
        </w:rPr>
        <w:t>Sweet</w:t>
      </w:r>
      <w:proofErr w:type="spellEnd"/>
      <w:r w:rsidRPr="00FE3077">
        <w:rPr>
          <w:rFonts w:ascii="Times New Roman" w:hAnsi="Times New Roman"/>
          <w:sz w:val="24"/>
          <w:lang w:val="pt-BR" w:eastAsia="pt-PT"/>
        </w:rPr>
        <w:t xml:space="preserve"> &amp; Maxwell, 2003.</w:t>
      </w:r>
    </w:p>
    <w:p w:rsidR="00374B8E" w:rsidRPr="00FE3077" w:rsidRDefault="00374B8E" w:rsidP="00D97792">
      <w:pPr>
        <w:pStyle w:val="Textodenotaderodap"/>
        <w:rPr>
          <w:rFonts w:ascii="Times New Roman" w:hAnsi="Times New Roman"/>
          <w:sz w:val="24"/>
          <w:lang w:val="pt-BR" w:eastAsia="pt-PT"/>
        </w:rPr>
      </w:pPr>
    </w:p>
    <w:p w:rsidR="00374B8E" w:rsidRPr="00FE3077" w:rsidRDefault="00374B8E" w:rsidP="00D97792">
      <w:pPr>
        <w:pStyle w:val="Textodenotaderodap"/>
        <w:rPr>
          <w:rFonts w:ascii="Times New Roman" w:hAnsi="Times New Roman"/>
          <w:sz w:val="24"/>
          <w:lang w:val="en-US"/>
        </w:rPr>
      </w:pPr>
      <w:r>
        <w:rPr>
          <w:rFonts w:ascii="Times New Roman" w:hAnsi="Times New Roman"/>
          <w:sz w:val="24"/>
        </w:rPr>
        <w:t xml:space="preserve">GONTIJO, Cícero, </w:t>
      </w:r>
      <w:r>
        <w:rPr>
          <w:rFonts w:ascii="Times New Roman" w:hAnsi="Times New Roman"/>
          <w:i/>
          <w:sz w:val="24"/>
        </w:rPr>
        <w:t>As transformações do sistema de patentes, da convenção de Paris ao Acordo Trips</w:t>
      </w:r>
      <w:r>
        <w:rPr>
          <w:rFonts w:ascii="Times New Roman" w:hAnsi="Times New Roman"/>
          <w:sz w:val="24"/>
        </w:rPr>
        <w:t xml:space="preserve">, Fundação Heinrich Böll, 2005. disponível em: &lt;www.boell-latinoamerica.org/download_pt/trips_1105.pdf&gt;. </w:t>
      </w:r>
      <w:proofErr w:type="spellStart"/>
      <w:r w:rsidRPr="00FE3077">
        <w:rPr>
          <w:rFonts w:ascii="Times New Roman" w:hAnsi="Times New Roman"/>
          <w:sz w:val="24"/>
          <w:lang w:val="en-US"/>
        </w:rPr>
        <w:t>Consultado</w:t>
      </w:r>
      <w:proofErr w:type="spellEnd"/>
      <w:r w:rsidRPr="00FE3077">
        <w:rPr>
          <w:rFonts w:ascii="Times New Roman" w:hAnsi="Times New Roman"/>
          <w:sz w:val="24"/>
          <w:lang w:val="en-US"/>
        </w:rPr>
        <w:t xml:space="preserve"> </w:t>
      </w:r>
      <w:proofErr w:type="spellStart"/>
      <w:r w:rsidRPr="00FE3077">
        <w:rPr>
          <w:rFonts w:ascii="Times New Roman" w:hAnsi="Times New Roman"/>
          <w:sz w:val="24"/>
          <w:lang w:val="en-US"/>
        </w:rPr>
        <w:t>em</w:t>
      </w:r>
      <w:proofErr w:type="spellEnd"/>
      <w:r w:rsidRPr="00FE3077">
        <w:rPr>
          <w:rFonts w:ascii="Times New Roman" w:hAnsi="Times New Roman"/>
          <w:sz w:val="24"/>
          <w:lang w:val="en-US"/>
        </w:rPr>
        <w:t xml:space="preserve"> 17.02.2011.</w:t>
      </w:r>
    </w:p>
    <w:p w:rsidR="00374B8E" w:rsidRPr="00FE3077" w:rsidRDefault="00374B8E" w:rsidP="00D97792">
      <w:pPr>
        <w:pStyle w:val="Textodenotaderodap"/>
        <w:rPr>
          <w:rFonts w:ascii="Times New Roman" w:hAnsi="Times New Roman"/>
          <w:sz w:val="24"/>
          <w:lang w:val="en-US"/>
        </w:rPr>
      </w:pPr>
    </w:p>
    <w:p w:rsidR="00374B8E" w:rsidRDefault="00374B8E" w:rsidP="00D97792">
      <w:pPr>
        <w:pStyle w:val="Textodenotaderodap"/>
        <w:rPr>
          <w:rFonts w:ascii="Times New Roman" w:hAnsi="Times New Roman"/>
          <w:sz w:val="24"/>
          <w:lang w:val="en-US"/>
        </w:rPr>
      </w:pPr>
      <w:r>
        <w:rPr>
          <w:rFonts w:ascii="Times New Roman" w:hAnsi="Times New Roman"/>
          <w:sz w:val="24"/>
          <w:lang w:val="en-GB"/>
        </w:rPr>
        <w:t xml:space="preserve">HESTERMEYER, </w:t>
      </w:r>
      <w:proofErr w:type="spellStart"/>
      <w:r>
        <w:rPr>
          <w:rFonts w:ascii="Times New Roman" w:hAnsi="Times New Roman"/>
          <w:sz w:val="24"/>
          <w:lang w:val="en-GB"/>
        </w:rPr>
        <w:t>Holger</w:t>
      </w:r>
      <w:proofErr w:type="spellEnd"/>
      <w:r>
        <w:rPr>
          <w:rFonts w:ascii="Times New Roman" w:hAnsi="Times New Roman"/>
          <w:sz w:val="24"/>
          <w:lang w:val="en-GB"/>
        </w:rPr>
        <w:t xml:space="preserve"> Human.</w:t>
      </w:r>
      <w:r>
        <w:rPr>
          <w:rFonts w:ascii="Times New Roman" w:hAnsi="Times New Roman"/>
          <w:i/>
          <w:sz w:val="24"/>
          <w:lang w:val="en-GB"/>
        </w:rPr>
        <w:t xml:space="preserve"> Rights and the WTO</w:t>
      </w:r>
      <w:r>
        <w:rPr>
          <w:rFonts w:ascii="Times New Roman" w:hAnsi="Times New Roman"/>
          <w:sz w:val="24"/>
          <w:lang w:val="en-GB"/>
        </w:rPr>
        <w:t xml:space="preserve">, </w:t>
      </w:r>
      <w:r>
        <w:rPr>
          <w:rFonts w:ascii="Times New Roman" w:hAnsi="Times New Roman"/>
          <w:sz w:val="24"/>
          <w:lang w:val="en-GB" w:eastAsia="pt-PT"/>
        </w:rPr>
        <w:t xml:space="preserve">New York: </w:t>
      </w:r>
      <w:proofErr w:type="gramStart"/>
      <w:r>
        <w:rPr>
          <w:rFonts w:ascii="Times New Roman" w:hAnsi="Times New Roman"/>
          <w:sz w:val="24"/>
          <w:lang w:val="en-GB" w:eastAsia="pt-PT"/>
        </w:rPr>
        <w:t>Oxford  Press</w:t>
      </w:r>
      <w:proofErr w:type="gramEnd"/>
      <w:r>
        <w:rPr>
          <w:rFonts w:ascii="Times New Roman" w:hAnsi="Times New Roman"/>
          <w:sz w:val="24"/>
          <w:lang w:val="en-GB" w:eastAsia="pt-PT"/>
        </w:rPr>
        <w:t>, 2007.</w:t>
      </w:r>
    </w:p>
    <w:p w:rsidR="00374B8E" w:rsidRDefault="00374B8E" w:rsidP="00D97792">
      <w:pPr>
        <w:pStyle w:val="Textodenotaderodap"/>
        <w:rPr>
          <w:rFonts w:ascii="Times New Roman" w:hAnsi="Times New Roman"/>
          <w:sz w:val="24"/>
          <w:lang w:val="en-US"/>
        </w:rPr>
      </w:pPr>
    </w:p>
    <w:p w:rsidR="00374B8E" w:rsidRDefault="00374B8E" w:rsidP="00D97792">
      <w:pPr>
        <w:pStyle w:val="Textodenotaderodap"/>
        <w:rPr>
          <w:rFonts w:ascii="Times New Roman" w:hAnsi="Times New Roman"/>
          <w:sz w:val="24"/>
          <w:lang w:val="en-US" w:eastAsia="pt-PT"/>
        </w:rPr>
      </w:pPr>
      <w:r>
        <w:rPr>
          <w:rFonts w:ascii="Times New Roman" w:hAnsi="Times New Roman"/>
          <w:sz w:val="24"/>
          <w:lang w:val="en-US"/>
        </w:rPr>
        <w:t xml:space="preserve">KAUN NG, Elizabeth S. </w:t>
      </w:r>
      <w:r>
        <w:rPr>
          <w:rFonts w:ascii="Times New Roman" w:hAnsi="Times New Roman"/>
          <w:i/>
          <w:sz w:val="24"/>
          <w:lang w:val="en-US"/>
        </w:rPr>
        <w:t xml:space="preserve">Patent </w:t>
      </w:r>
      <w:proofErr w:type="gramStart"/>
      <w:r>
        <w:rPr>
          <w:rFonts w:ascii="Times New Roman" w:hAnsi="Times New Roman"/>
          <w:i/>
          <w:sz w:val="24"/>
          <w:lang w:val="en-US"/>
        </w:rPr>
        <w:t>Trolling:</w:t>
      </w:r>
      <w:proofErr w:type="gramEnd"/>
      <w:r>
        <w:rPr>
          <w:rFonts w:ascii="Times New Roman" w:hAnsi="Times New Roman"/>
          <w:i/>
          <w:sz w:val="24"/>
          <w:lang w:val="en-US"/>
        </w:rPr>
        <w:t xml:space="preserve"> Innovation at Risk</w:t>
      </w:r>
      <w:r>
        <w:rPr>
          <w:rFonts w:ascii="Times New Roman" w:hAnsi="Times New Roman"/>
          <w:sz w:val="24"/>
          <w:lang w:val="en-US"/>
        </w:rPr>
        <w:t xml:space="preserve">, </w:t>
      </w:r>
      <w:r>
        <w:rPr>
          <w:rFonts w:ascii="Times New Roman" w:hAnsi="Times New Roman"/>
          <w:i/>
          <w:sz w:val="24"/>
          <w:lang w:val="en-US" w:eastAsia="pt-PT"/>
        </w:rPr>
        <w:t>EIPR</w:t>
      </w:r>
      <w:r>
        <w:rPr>
          <w:rFonts w:ascii="Times New Roman" w:hAnsi="Times New Roman"/>
          <w:sz w:val="24"/>
          <w:lang w:val="en-US" w:eastAsia="pt-PT"/>
        </w:rPr>
        <w:t>, v. 31, 12, Sweet &amp; Maxwell, 2009.</w:t>
      </w:r>
    </w:p>
    <w:p w:rsidR="00374B8E" w:rsidRDefault="00374B8E" w:rsidP="00D97792">
      <w:pPr>
        <w:pStyle w:val="Textodenotaderodap"/>
        <w:rPr>
          <w:rFonts w:ascii="Times New Roman" w:hAnsi="Times New Roman"/>
          <w:sz w:val="24"/>
          <w:lang w:val="en-US" w:eastAsia="pt-PT"/>
        </w:rPr>
      </w:pPr>
    </w:p>
    <w:p w:rsidR="00374B8E" w:rsidRDefault="00374B8E" w:rsidP="00D97792">
      <w:pPr>
        <w:pStyle w:val="Textodenotaderodap"/>
        <w:rPr>
          <w:rFonts w:ascii="Times New Roman" w:hAnsi="Times New Roman"/>
          <w:sz w:val="24"/>
          <w:lang w:val="en-US"/>
        </w:rPr>
      </w:pPr>
      <w:r>
        <w:rPr>
          <w:rFonts w:ascii="Times New Roman" w:hAnsi="Times New Roman"/>
          <w:sz w:val="24"/>
          <w:lang w:val="en-US"/>
        </w:rPr>
        <w:t xml:space="preserve">LIU, Kung-Chung. </w:t>
      </w:r>
      <w:proofErr w:type="spellStart"/>
      <w:r>
        <w:rPr>
          <w:rFonts w:ascii="Times New Roman" w:hAnsi="Times New Roman"/>
          <w:i/>
          <w:sz w:val="24"/>
          <w:lang w:val="en-US"/>
        </w:rPr>
        <w:t>Rationalising</w:t>
      </w:r>
      <w:proofErr w:type="spellEnd"/>
      <w:r>
        <w:rPr>
          <w:rFonts w:ascii="Times New Roman" w:hAnsi="Times New Roman"/>
          <w:i/>
          <w:sz w:val="24"/>
          <w:lang w:val="en-US"/>
        </w:rPr>
        <w:t xml:space="preserve"> the regime of compulsory patent licensing by the essential facilities doctrine</w:t>
      </w:r>
      <w:r>
        <w:rPr>
          <w:rFonts w:ascii="Times New Roman" w:hAnsi="Times New Roman"/>
          <w:sz w:val="24"/>
          <w:lang w:val="en-US"/>
        </w:rPr>
        <w:t>, ICC, Munich / Oxford, v. 39, no. 7.</w:t>
      </w:r>
    </w:p>
    <w:p w:rsidR="00374B8E" w:rsidRDefault="00374B8E" w:rsidP="00D97792">
      <w:pPr>
        <w:pStyle w:val="Textodenotaderodap"/>
        <w:rPr>
          <w:rFonts w:ascii="Times New Roman" w:hAnsi="Times New Roman"/>
          <w:sz w:val="24"/>
          <w:lang w:val="en-US"/>
        </w:rPr>
      </w:pPr>
    </w:p>
    <w:p w:rsidR="00374B8E" w:rsidRPr="00FE3077" w:rsidRDefault="00374B8E" w:rsidP="00D97792">
      <w:pPr>
        <w:pStyle w:val="Textodenotaderodap"/>
        <w:rPr>
          <w:rFonts w:ascii="Times New Roman" w:hAnsi="Times New Roman"/>
          <w:sz w:val="24"/>
          <w:lang w:val="en-US"/>
        </w:rPr>
      </w:pPr>
      <w:r>
        <w:rPr>
          <w:rFonts w:ascii="Times New Roman" w:hAnsi="Times New Roman"/>
          <w:sz w:val="24"/>
        </w:rPr>
        <w:t xml:space="preserve">MONTEIRO, Luís Pinto, </w:t>
      </w:r>
      <w:r>
        <w:rPr>
          <w:rFonts w:ascii="Times New Roman" w:hAnsi="Times New Roman"/>
          <w:i/>
          <w:sz w:val="24"/>
        </w:rPr>
        <w:t>A recusa em licenciar direitos de propriedade intelectual no direito da concorrência</w:t>
      </w:r>
      <w:r>
        <w:rPr>
          <w:rFonts w:ascii="Times New Roman" w:hAnsi="Times New Roman"/>
          <w:sz w:val="24"/>
        </w:rPr>
        <w:t xml:space="preserve">. </w:t>
      </w:r>
      <w:r w:rsidRPr="00FE3077">
        <w:rPr>
          <w:rFonts w:ascii="Times New Roman" w:hAnsi="Times New Roman"/>
          <w:sz w:val="24"/>
          <w:lang w:val="en-US"/>
        </w:rPr>
        <w:t xml:space="preserve">Coimbra: </w:t>
      </w:r>
      <w:proofErr w:type="spellStart"/>
      <w:r w:rsidRPr="00FE3077">
        <w:rPr>
          <w:rFonts w:ascii="Times New Roman" w:hAnsi="Times New Roman"/>
          <w:sz w:val="24"/>
          <w:lang w:val="en-US"/>
        </w:rPr>
        <w:t>Almedina</w:t>
      </w:r>
      <w:proofErr w:type="spellEnd"/>
      <w:r w:rsidRPr="00FE3077">
        <w:rPr>
          <w:rFonts w:ascii="Times New Roman" w:hAnsi="Times New Roman"/>
          <w:sz w:val="24"/>
          <w:lang w:val="en-US"/>
        </w:rPr>
        <w:t>, 2010.</w:t>
      </w:r>
    </w:p>
    <w:p w:rsidR="00374B8E" w:rsidRPr="00FE3077" w:rsidRDefault="00374B8E" w:rsidP="00D97792">
      <w:pPr>
        <w:pStyle w:val="Textodenotaderodap"/>
        <w:rPr>
          <w:rFonts w:ascii="Times New Roman" w:hAnsi="Times New Roman"/>
          <w:sz w:val="24"/>
          <w:lang w:val="en-US"/>
        </w:rPr>
      </w:pPr>
    </w:p>
    <w:p w:rsidR="00374B8E" w:rsidRDefault="00374B8E" w:rsidP="00D97792">
      <w:pPr>
        <w:pStyle w:val="Textodenotaderodap"/>
        <w:rPr>
          <w:rFonts w:ascii="Times New Roman" w:hAnsi="Times New Roman"/>
          <w:b/>
          <w:sz w:val="24"/>
          <w:lang w:val="en-US" w:eastAsia="pt-PT"/>
        </w:rPr>
      </w:pPr>
      <w:r>
        <w:rPr>
          <w:rFonts w:ascii="Times New Roman" w:hAnsi="Times New Roman"/>
          <w:sz w:val="24"/>
          <w:lang w:val="en-US"/>
        </w:rPr>
        <w:t xml:space="preserve">MUSUNGU, </w:t>
      </w:r>
      <w:proofErr w:type="spellStart"/>
      <w:r>
        <w:rPr>
          <w:rFonts w:ascii="Times New Roman" w:hAnsi="Times New Roman"/>
          <w:sz w:val="24"/>
          <w:lang w:val="en-US"/>
        </w:rPr>
        <w:t>Sisule</w:t>
      </w:r>
      <w:proofErr w:type="spellEnd"/>
      <w:r>
        <w:rPr>
          <w:rFonts w:ascii="Times New Roman" w:hAnsi="Times New Roman"/>
          <w:sz w:val="24"/>
          <w:lang w:val="en-US"/>
        </w:rPr>
        <w:t xml:space="preserve"> / OH, Cecile</w:t>
      </w:r>
      <w:r>
        <w:rPr>
          <w:rFonts w:ascii="Times New Roman" w:hAnsi="Times New Roman"/>
          <w:i/>
          <w:sz w:val="24"/>
          <w:lang w:val="en-US"/>
        </w:rPr>
        <w:t xml:space="preserve">, The use of Flexibilities in Trips by Developing Countries: Can they Promote </w:t>
      </w:r>
      <w:proofErr w:type="spellStart"/>
      <w:r>
        <w:rPr>
          <w:rFonts w:ascii="Times New Roman" w:hAnsi="Times New Roman"/>
          <w:i/>
          <w:sz w:val="24"/>
          <w:lang w:val="en-US"/>
        </w:rPr>
        <w:t>Acess</w:t>
      </w:r>
      <w:proofErr w:type="spellEnd"/>
      <w:r>
        <w:rPr>
          <w:rFonts w:ascii="Times New Roman" w:hAnsi="Times New Roman"/>
          <w:i/>
          <w:sz w:val="24"/>
          <w:lang w:val="en-US"/>
        </w:rPr>
        <w:t xml:space="preserve"> to Medicines</w:t>
      </w:r>
      <w:proofErr w:type="gramStart"/>
      <w:r>
        <w:rPr>
          <w:rFonts w:ascii="Times New Roman" w:hAnsi="Times New Roman"/>
          <w:sz w:val="24"/>
          <w:lang w:val="en-US"/>
        </w:rPr>
        <w:t>?,</w:t>
      </w:r>
      <w:proofErr w:type="gramEnd"/>
      <w:r>
        <w:rPr>
          <w:rFonts w:ascii="Times New Roman" w:hAnsi="Times New Roman"/>
          <w:sz w:val="24"/>
          <w:lang w:val="en-US"/>
        </w:rPr>
        <w:t xml:space="preserve"> South Centre, </w:t>
      </w:r>
      <w:proofErr w:type="spellStart"/>
      <w:r>
        <w:rPr>
          <w:rFonts w:ascii="Times New Roman" w:hAnsi="Times New Roman"/>
          <w:sz w:val="24"/>
          <w:lang w:val="en-US"/>
        </w:rPr>
        <w:t>Geneve</w:t>
      </w:r>
      <w:proofErr w:type="spellEnd"/>
      <w:r>
        <w:rPr>
          <w:rFonts w:ascii="Times New Roman" w:hAnsi="Times New Roman"/>
          <w:sz w:val="24"/>
          <w:lang w:val="en-US"/>
        </w:rPr>
        <w:t>, 2006.</w:t>
      </w:r>
    </w:p>
    <w:p w:rsidR="00374B8E" w:rsidRDefault="00374B8E" w:rsidP="00D97792">
      <w:pPr>
        <w:pStyle w:val="Textodenotaderodap"/>
        <w:rPr>
          <w:rFonts w:ascii="Times New Roman" w:hAnsi="Times New Roman"/>
          <w:sz w:val="24"/>
          <w:lang w:val="en-US"/>
        </w:rPr>
      </w:pPr>
    </w:p>
    <w:p w:rsidR="00374B8E" w:rsidRDefault="00374B8E" w:rsidP="00D97792">
      <w:pPr>
        <w:pStyle w:val="Textodenotaderodap"/>
        <w:rPr>
          <w:rFonts w:ascii="Times New Roman" w:hAnsi="Times New Roman"/>
          <w:sz w:val="24"/>
          <w:lang w:eastAsia="pt-PT"/>
        </w:rPr>
      </w:pPr>
      <w:r>
        <w:rPr>
          <w:rFonts w:ascii="Times New Roman" w:hAnsi="Times New Roman"/>
          <w:sz w:val="24"/>
          <w:lang w:eastAsia="pt-PT"/>
        </w:rPr>
        <w:t xml:space="preserve">MARQUES, J.P. Remédio. </w:t>
      </w:r>
      <w:r>
        <w:rPr>
          <w:rFonts w:ascii="Times New Roman" w:hAnsi="Times New Roman"/>
          <w:i/>
          <w:sz w:val="24"/>
        </w:rPr>
        <w:t>Biotecnologias e Propriedade Intelectual</w:t>
      </w:r>
      <w:r>
        <w:rPr>
          <w:rFonts w:ascii="Times New Roman" w:hAnsi="Times New Roman"/>
          <w:sz w:val="24"/>
        </w:rPr>
        <w:t xml:space="preserve">, vol. II, </w:t>
      </w:r>
      <w:r>
        <w:rPr>
          <w:rFonts w:ascii="Times New Roman" w:hAnsi="Times New Roman"/>
          <w:sz w:val="24"/>
          <w:lang w:eastAsia="pt-PT"/>
        </w:rPr>
        <w:t>Coimbra, Almedina, 2007.</w:t>
      </w:r>
    </w:p>
    <w:p w:rsidR="00374B8E" w:rsidRDefault="00374B8E" w:rsidP="00D97792">
      <w:pPr>
        <w:pStyle w:val="Textodenotaderodap"/>
        <w:rPr>
          <w:rFonts w:ascii="Times New Roman" w:hAnsi="Times New Roman"/>
          <w:sz w:val="24"/>
          <w:lang w:eastAsia="pt-PT"/>
        </w:rPr>
      </w:pPr>
    </w:p>
    <w:p w:rsidR="00374B8E" w:rsidRDefault="00374B8E" w:rsidP="00D97792">
      <w:pPr>
        <w:pStyle w:val="Textodenotaderodap"/>
        <w:rPr>
          <w:rFonts w:ascii="Times New Roman" w:hAnsi="Times New Roman"/>
          <w:sz w:val="24"/>
          <w:lang w:eastAsia="pt-PT"/>
        </w:rPr>
      </w:pPr>
      <w:r>
        <w:rPr>
          <w:rFonts w:ascii="Times New Roman" w:hAnsi="Times New Roman"/>
          <w:sz w:val="24"/>
        </w:rPr>
        <w:t>______.</w:t>
      </w:r>
      <w:r>
        <w:rPr>
          <w:rFonts w:ascii="Times New Roman" w:hAnsi="Times New Roman"/>
          <w:i/>
          <w:sz w:val="24"/>
        </w:rPr>
        <w:t>Medicamentos vs Patentes: estudos de propriedade industrial</w:t>
      </w:r>
      <w:r>
        <w:rPr>
          <w:rFonts w:ascii="Times New Roman" w:hAnsi="Times New Roman"/>
          <w:sz w:val="24"/>
        </w:rPr>
        <w:t>. Coimbra: Coimbra, 2008.</w:t>
      </w:r>
    </w:p>
    <w:p w:rsidR="00374B8E" w:rsidRDefault="00374B8E" w:rsidP="00D97792">
      <w:pPr>
        <w:pStyle w:val="Textodenotaderodap"/>
        <w:rPr>
          <w:rFonts w:ascii="Times New Roman" w:hAnsi="Times New Roman"/>
          <w:sz w:val="24"/>
          <w:lang w:eastAsia="pt-PT"/>
        </w:rPr>
      </w:pPr>
    </w:p>
    <w:p w:rsidR="00374B8E" w:rsidRDefault="00374B8E" w:rsidP="00D97792">
      <w:pPr>
        <w:pStyle w:val="Textodenotaderodap"/>
        <w:rPr>
          <w:rFonts w:ascii="Times New Roman" w:hAnsi="Times New Roman"/>
          <w:sz w:val="24"/>
          <w:lang w:val="pt-BR"/>
        </w:rPr>
      </w:pPr>
      <w:r>
        <w:rPr>
          <w:rFonts w:ascii="Times New Roman" w:hAnsi="Times New Roman"/>
          <w:sz w:val="24"/>
          <w:lang w:eastAsia="pt-PT"/>
        </w:rPr>
        <w:t xml:space="preserve">______. </w:t>
      </w:r>
      <w:r>
        <w:rPr>
          <w:rFonts w:ascii="Times New Roman" w:hAnsi="Times New Roman"/>
          <w:i/>
          <w:sz w:val="24"/>
        </w:rPr>
        <w:t>Licenças (Voluntárias e Obrigatórias) de Direitos de Propriedade Industrial</w:t>
      </w:r>
      <w:r>
        <w:rPr>
          <w:rFonts w:ascii="Times New Roman" w:hAnsi="Times New Roman"/>
          <w:sz w:val="24"/>
        </w:rPr>
        <w:t>. Coimbra: Almedina,2008.</w:t>
      </w:r>
    </w:p>
    <w:p w:rsidR="00374B8E" w:rsidRDefault="00374B8E" w:rsidP="00D97792">
      <w:pPr>
        <w:pStyle w:val="Textodenotaderodap"/>
        <w:rPr>
          <w:rFonts w:ascii="Times New Roman" w:hAnsi="Times New Roman"/>
          <w:sz w:val="24"/>
        </w:rPr>
      </w:pPr>
    </w:p>
    <w:p w:rsidR="00374B8E" w:rsidRDefault="00374B8E" w:rsidP="00D97792">
      <w:pPr>
        <w:pStyle w:val="Textodenotaderodap"/>
        <w:rPr>
          <w:rFonts w:ascii="Times New Roman" w:hAnsi="Times New Roman"/>
          <w:sz w:val="24"/>
        </w:rPr>
      </w:pPr>
      <w:r>
        <w:rPr>
          <w:rFonts w:ascii="Times New Roman" w:hAnsi="Times New Roman"/>
          <w:sz w:val="24"/>
        </w:rPr>
        <w:t xml:space="preserve">MARQUES, J.P. Remédio; </w:t>
      </w:r>
      <w:r>
        <w:rPr>
          <w:rFonts w:ascii="Times New Roman" w:hAnsi="Times New Roman"/>
          <w:color w:val="000000"/>
          <w:sz w:val="24"/>
          <w:lang w:eastAsia="pt-PT"/>
        </w:rPr>
        <w:t xml:space="preserve">SERENS, Nogueira. </w:t>
      </w:r>
      <w:r>
        <w:rPr>
          <w:rFonts w:ascii="Times New Roman" w:hAnsi="Times New Roman"/>
          <w:sz w:val="24"/>
        </w:rPr>
        <w:t xml:space="preserve">Direito de Patente: sucessão de leis no tempo e a proibição de outorga de patentes nacionais sobre produtos químicos ou farmacêuticos no domínio do CPI de 1940 - o aditamento de reivindicações de produto químico ou farmacêutico no quadro do CPI de 1995, nos procedimentos de protecção de pendentes na data de adesão à Convenção da Patente Europeia e ao Acordo </w:t>
      </w:r>
      <w:r>
        <w:rPr>
          <w:rFonts w:ascii="Times New Roman" w:hAnsi="Times New Roman"/>
          <w:i/>
          <w:sz w:val="24"/>
        </w:rPr>
        <w:t>Trips</w:t>
      </w:r>
      <w:r>
        <w:rPr>
          <w:rFonts w:ascii="Times New Roman" w:hAnsi="Times New Roman"/>
          <w:sz w:val="24"/>
        </w:rPr>
        <w:t xml:space="preserve">». </w:t>
      </w:r>
      <w:r>
        <w:rPr>
          <w:rFonts w:ascii="Times New Roman" w:hAnsi="Times New Roman"/>
          <w:i/>
          <w:sz w:val="24"/>
        </w:rPr>
        <w:t>O Direito</w:t>
      </w:r>
      <w:r>
        <w:rPr>
          <w:rFonts w:ascii="Times New Roman" w:hAnsi="Times New Roman"/>
          <w:sz w:val="24"/>
        </w:rPr>
        <w:t>, 138º, V, Coimbra: Almedina, 2006.</w:t>
      </w:r>
    </w:p>
    <w:p w:rsidR="00374B8E" w:rsidRDefault="00374B8E" w:rsidP="00D97792">
      <w:pPr>
        <w:pStyle w:val="Textodenotaderodap"/>
        <w:rPr>
          <w:rFonts w:ascii="Times New Roman" w:hAnsi="Times New Roman"/>
          <w:sz w:val="24"/>
        </w:rPr>
      </w:pPr>
    </w:p>
    <w:p w:rsidR="00374B8E" w:rsidRDefault="00374B8E" w:rsidP="00D97792">
      <w:pPr>
        <w:pStyle w:val="Textodenotaderodap"/>
        <w:rPr>
          <w:rFonts w:ascii="Times New Roman" w:hAnsi="Times New Roman"/>
          <w:sz w:val="24"/>
          <w:lang w:val="pt-BR"/>
        </w:rPr>
      </w:pPr>
      <w:r>
        <w:rPr>
          <w:rFonts w:ascii="Times New Roman" w:hAnsi="Times New Roman"/>
          <w:sz w:val="24"/>
          <w:lang w:eastAsia="pt-PT"/>
        </w:rPr>
        <w:t xml:space="preserve">MIRANDA, Jorge; GOUVEIA, Jorge Bacelar, «A duração da patente no Acordo Trips e no novo Código da Propriedade Industrial à luz da Constituição portuguesa, </w:t>
      </w:r>
      <w:r>
        <w:rPr>
          <w:rFonts w:ascii="Times New Roman" w:hAnsi="Times New Roman"/>
          <w:i/>
          <w:sz w:val="24"/>
          <w:lang w:eastAsia="pt-PT"/>
        </w:rPr>
        <w:t>ROA</w:t>
      </w:r>
      <w:r>
        <w:rPr>
          <w:rFonts w:ascii="Times New Roman" w:hAnsi="Times New Roman"/>
          <w:sz w:val="24"/>
          <w:lang w:eastAsia="pt-PT"/>
        </w:rPr>
        <w:t>, Ano 57, v. I, Jan. 1997.</w:t>
      </w:r>
    </w:p>
    <w:p w:rsidR="00374B8E" w:rsidRDefault="00374B8E" w:rsidP="00D97792">
      <w:pPr>
        <w:pStyle w:val="Textodenotaderodap"/>
        <w:rPr>
          <w:rFonts w:ascii="Times New Roman" w:hAnsi="Times New Roman"/>
          <w:sz w:val="24"/>
        </w:rPr>
      </w:pPr>
    </w:p>
    <w:p w:rsidR="00374B8E" w:rsidRDefault="00374B8E" w:rsidP="00D97792">
      <w:pPr>
        <w:pStyle w:val="Textodenotaderodap"/>
        <w:rPr>
          <w:rFonts w:ascii="Times New Roman" w:hAnsi="Times New Roman"/>
          <w:sz w:val="24"/>
          <w:lang w:val="en-GB"/>
        </w:rPr>
      </w:pPr>
      <w:r>
        <w:rPr>
          <w:rFonts w:ascii="Times New Roman" w:hAnsi="Times New Roman"/>
          <w:sz w:val="24"/>
          <w:lang w:val="en-GB"/>
        </w:rPr>
        <w:t xml:space="preserve">PALLADINO, Vincent N. Compulsory Licensing of a Trademark, </w:t>
      </w:r>
      <w:r>
        <w:rPr>
          <w:rFonts w:ascii="Times New Roman" w:hAnsi="Times New Roman"/>
          <w:i/>
          <w:sz w:val="24"/>
          <w:lang w:val="en-GB"/>
        </w:rPr>
        <w:t>Buffalo Law Review</w:t>
      </w:r>
      <w:r>
        <w:rPr>
          <w:rFonts w:ascii="Times New Roman" w:hAnsi="Times New Roman"/>
          <w:sz w:val="24"/>
          <w:lang w:val="en-GB"/>
        </w:rPr>
        <w:t xml:space="preserve">, v. 68, 457, 1978. </w:t>
      </w:r>
      <w:proofErr w:type="spellStart"/>
      <w:r>
        <w:rPr>
          <w:rFonts w:ascii="Times New Roman" w:hAnsi="Times New Roman"/>
          <w:sz w:val="24"/>
          <w:lang w:val="en-GB"/>
        </w:rPr>
        <w:t>Disponível</w:t>
      </w:r>
      <w:proofErr w:type="spellEnd"/>
      <w:r>
        <w:rPr>
          <w:rFonts w:ascii="Times New Roman" w:hAnsi="Times New Roman"/>
          <w:sz w:val="24"/>
          <w:lang w:val="en-GB"/>
        </w:rPr>
        <w:t xml:space="preserve"> </w:t>
      </w:r>
      <w:proofErr w:type="spellStart"/>
      <w:r>
        <w:rPr>
          <w:rFonts w:ascii="Times New Roman" w:hAnsi="Times New Roman"/>
          <w:sz w:val="24"/>
          <w:lang w:val="en-GB"/>
        </w:rPr>
        <w:t>em</w:t>
      </w:r>
      <w:proofErr w:type="spellEnd"/>
      <w:r>
        <w:rPr>
          <w:rFonts w:ascii="Times New Roman" w:hAnsi="Times New Roman"/>
          <w:sz w:val="24"/>
          <w:lang w:val="en-GB"/>
        </w:rPr>
        <w:t>: http://www.heinonline.org/HOL/Page?handle=hein.journals/thetmr68&amp;div=51&amp;collection=journals&amp;set_as_cursor=18&amp;men_tab=srchresults&amp;terms</w:t>
      </w:r>
      <w:proofErr w:type="gramStart"/>
      <w:r>
        <w:rPr>
          <w:rFonts w:ascii="Times New Roman" w:hAnsi="Times New Roman"/>
          <w:sz w:val="24"/>
          <w:lang w:val="en-GB"/>
        </w:rPr>
        <w:t>=(</w:t>
      </w:r>
      <w:proofErr w:type="gramEnd"/>
      <w:r>
        <w:rPr>
          <w:rFonts w:ascii="Times New Roman" w:hAnsi="Times New Roman"/>
          <w:sz w:val="24"/>
          <w:lang w:val="en-GB"/>
        </w:rPr>
        <w:t>compulsory AND licensing AND of AND a AND trademark)&amp;type=</w:t>
      </w:r>
      <w:proofErr w:type="spellStart"/>
      <w:r>
        <w:rPr>
          <w:rFonts w:ascii="Times New Roman" w:hAnsi="Times New Roman"/>
          <w:sz w:val="24"/>
          <w:lang w:val="en-GB"/>
        </w:rPr>
        <w:t>matchal</w:t>
      </w:r>
      <w:proofErr w:type="spellEnd"/>
      <w:r>
        <w:rPr>
          <w:rFonts w:ascii="Times New Roman" w:hAnsi="Times New Roman"/>
          <w:sz w:val="24"/>
          <w:lang w:val="en-GB"/>
        </w:rPr>
        <w:t xml:space="preserve"> </w:t>
      </w:r>
      <w:proofErr w:type="spellStart"/>
      <w:r>
        <w:rPr>
          <w:rFonts w:ascii="Times New Roman" w:hAnsi="Times New Roman"/>
          <w:sz w:val="24"/>
          <w:lang w:val="en-GB"/>
        </w:rPr>
        <w:t>Consultado</w:t>
      </w:r>
      <w:proofErr w:type="spellEnd"/>
      <w:r>
        <w:rPr>
          <w:rFonts w:ascii="Times New Roman" w:hAnsi="Times New Roman"/>
          <w:sz w:val="24"/>
          <w:lang w:val="en-GB"/>
        </w:rPr>
        <w:t xml:space="preserve"> </w:t>
      </w:r>
      <w:proofErr w:type="spellStart"/>
      <w:r>
        <w:rPr>
          <w:rFonts w:ascii="Times New Roman" w:hAnsi="Times New Roman"/>
          <w:sz w:val="24"/>
          <w:lang w:val="en-GB"/>
        </w:rPr>
        <w:t>em</w:t>
      </w:r>
      <w:proofErr w:type="spellEnd"/>
      <w:r>
        <w:rPr>
          <w:rFonts w:ascii="Times New Roman" w:hAnsi="Times New Roman"/>
          <w:sz w:val="24"/>
          <w:lang w:val="en-GB"/>
        </w:rPr>
        <w:t>: 22.06.11.</w:t>
      </w:r>
    </w:p>
    <w:p w:rsidR="00374B8E" w:rsidRDefault="00374B8E" w:rsidP="00D97792">
      <w:pPr>
        <w:pStyle w:val="Textodenotaderodap"/>
        <w:rPr>
          <w:rFonts w:ascii="Times New Roman" w:hAnsi="Times New Roman"/>
          <w:sz w:val="24"/>
          <w:lang w:val="en-GB"/>
        </w:rPr>
      </w:pPr>
    </w:p>
    <w:p w:rsidR="00374B8E" w:rsidRDefault="00374B8E" w:rsidP="00D97792">
      <w:pPr>
        <w:pStyle w:val="Textodenotaderodap"/>
        <w:rPr>
          <w:rFonts w:ascii="Times New Roman" w:hAnsi="Times New Roman"/>
          <w:sz w:val="24"/>
        </w:rPr>
      </w:pPr>
      <w:r>
        <w:rPr>
          <w:rFonts w:ascii="Times New Roman" w:hAnsi="Times New Roman"/>
          <w:sz w:val="24"/>
        </w:rPr>
        <w:t xml:space="preserve">QUADROS, Fausto de. O carácter </w:t>
      </w:r>
      <w:r>
        <w:rPr>
          <w:rFonts w:ascii="Times New Roman" w:hAnsi="Times New Roman"/>
          <w:i/>
          <w:sz w:val="24"/>
        </w:rPr>
        <w:t>Self-Executing</w:t>
      </w:r>
      <w:r>
        <w:rPr>
          <w:rFonts w:ascii="Times New Roman" w:hAnsi="Times New Roman"/>
          <w:sz w:val="24"/>
        </w:rPr>
        <w:t xml:space="preserve"> de disposições de Tratados Internacionais. O caso concreto do Acordo Trips.</w:t>
      </w:r>
      <w:r>
        <w:rPr>
          <w:rFonts w:ascii="Times New Roman" w:hAnsi="Times New Roman"/>
          <w:i/>
          <w:sz w:val="24"/>
        </w:rPr>
        <w:t xml:space="preserve">ROA, </w:t>
      </w:r>
      <w:r>
        <w:rPr>
          <w:rFonts w:ascii="Times New Roman" w:hAnsi="Times New Roman"/>
          <w:sz w:val="24"/>
        </w:rPr>
        <w:t>ANO 61, n. 3, Dez. 2001.</w:t>
      </w:r>
    </w:p>
    <w:p w:rsidR="00374B8E" w:rsidRDefault="00374B8E" w:rsidP="00D97792">
      <w:pPr>
        <w:pStyle w:val="Textodenotaderodap"/>
        <w:rPr>
          <w:rFonts w:ascii="Times New Roman" w:hAnsi="Times New Roman"/>
          <w:sz w:val="24"/>
        </w:rPr>
      </w:pPr>
    </w:p>
    <w:p w:rsidR="00374B8E" w:rsidRDefault="00374B8E" w:rsidP="00D97792">
      <w:pPr>
        <w:pStyle w:val="Textodenotaderodap"/>
        <w:rPr>
          <w:rFonts w:ascii="Times New Roman" w:hAnsi="Times New Roman"/>
          <w:sz w:val="24"/>
        </w:rPr>
      </w:pPr>
      <w:r>
        <w:rPr>
          <w:rFonts w:ascii="Times New Roman" w:hAnsi="Times New Roman"/>
          <w:sz w:val="24"/>
          <w:lang w:val="en-US" w:eastAsia="pt-PT"/>
        </w:rPr>
        <w:t xml:space="preserve">REICHMAN, Jerome; HAZENDHAL, C., </w:t>
      </w:r>
      <w:r>
        <w:rPr>
          <w:rFonts w:ascii="Times New Roman" w:hAnsi="Times New Roman"/>
          <w:i/>
          <w:iCs/>
          <w:sz w:val="24"/>
          <w:lang w:val="en-US" w:eastAsia="pt-PT"/>
        </w:rPr>
        <w:t>Non-voluntary Licensing of Patented Inventions: Historical Perspectives, Legal Frameworks Under Trips and an Overview of the Practice in Canada and in United States of America</w:t>
      </w:r>
      <w:r>
        <w:rPr>
          <w:rFonts w:ascii="Times New Roman" w:hAnsi="Times New Roman"/>
          <w:sz w:val="24"/>
          <w:lang w:val="en-US" w:eastAsia="pt-PT"/>
        </w:rPr>
        <w:t xml:space="preserve">, Issues Papers no. 5, UNCTAD / ICTSD, </w:t>
      </w:r>
      <w:proofErr w:type="spellStart"/>
      <w:r>
        <w:rPr>
          <w:rFonts w:ascii="Times New Roman" w:hAnsi="Times New Roman"/>
          <w:sz w:val="24"/>
          <w:lang w:val="en-US" w:eastAsia="pt-PT"/>
        </w:rPr>
        <w:t>Geneve</w:t>
      </w:r>
      <w:proofErr w:type="spellEnd"/>
      <w:r>
        <w:rPr>
          <w:rFonts w:ascii="Times New Roman" w:hAnsi="Times New Roman"/>
          <w:sz w:val="24"/>
          <w:lang w:val="en-US" w:eastAsia="pt-PT"/>
        </w:rPr>
        <w:t xml:space="preserve">, 2002. </w:t>
      </w:r>
      <w:r>
        <w:rPr>
          <w:rFonts w:ascii="Times New Roman" w:hAnsi="Times New Roman"/>
          <w:sz w:val="24"/>
          <w:lang w:eastAsia="pt-PT"/>
        </w:rPr>
        <w:t>Disponível em: &lt;</w:t>
      </w:r>
      <w:r>
        <w:rPr>
          <w:rFonts w:ascii="Times New Roman" w:hAnsi="Times New Roman"/>
          <w:sz w:val="24"/>
        </w:rPr>
        <w:t>http://www.iprsonline.org/resources/docs/Reichman%20-%20Non-voluntary%20Licensing%20-%20Blue%205.pdf &gt; Consultado em 20.12.2010.</w:t>
      </w:r>
    </w:p>
    <w:p w:rsidR="00374B8E" w:rsidRDefault="00374B8E" w:rsidP="00D97792">
      <w:pPr>
        <w:pStyle w:val="Textodenotaderodap"/>
        <w:rPr>
          <w:rFonts w:ascii="Times New Roman" w:hAnsi="Times New Roman"/>
          <w:sz w:val="24"/>
        </w:rPr>
      </w:pPr>
    </w:p>
    <w:p w:rsidR="00374B8E" w:rsidRDefault="00374B8E" w:rsidP="00D97792">
      <w:pPr>
        <w:pStyle w:val="Textodenotaderodap"/>
        <w:rPr>
          <w:rFonts w:ascii="Times New Roman" w:hAnsi="Times New Roman"/>
          <w:sz w:val="24"/>
          <w:lang w:val="en-US"/>
        </w:rPr>
      </w:pPr>
      <w:r>
        <w:rPr>
          <w:rFonts w:ascii="Times New Roman" w:hAnsi="Times New Roman"/>
          <w:sz w:val="24"/>
          <w:lang w:val="en-GB"/>
        </w:rPr>
        <w:t xml:space="preserve">ROFFE, Pedro; SPENNEMANN, </w:t>
      </w:r>
      <w:proofErr w:type="spellStart"/>
      <w:r>
        <w:rPr>
          <w:rFonts w:ascii="Times New Roman" w:hAnsi="Times New Roman"/>
          <w:sz w:val="24"/>
          <w:lang w:val="en-GB"/>
        </w:rPr>
        <w:t>Christoph</w:t>
      </w:r>
      <w:proofErr w:type="spellEnd"/>
      <w:r>
        <w:rPr>
          <w:rFonts w:ascii="Times New Roman" w:hAnsi="Times New Roman"/>
          <w:sz w:val="24"/>
          <w:lang w:val="en-GB"/>
        </w:rPr>
        <w:t xml:space="preserve">. Control of </w:t>
      </w:r>
      <w:proofErr w:type="spellStart"/>
      <w:r>
        <w:rPr>
          <w:rFonts w:ascii="Times New Roman" w:hAnsi="Times New Roman"/>
          <w:sz w:val="24"/>
          <w:lang w:val="en-GB"/>
        </w:rPr>
        <w:t>Anti.competitive</w:t>
      </w:r>
      <w:proofErr w:type="spellEnd"/>
      <w:r>
        <w:rPr>
          <w:rFonts w:ascii="Times New Roman" w:hAnsi="Times New Roman"/>
          <w:sz w:val="24"/>
          <w:lang w:val="en-GB"/>
        </w:rPr>
        <w:t xml:space="preserve"> </w:t>
      </w:r>
      <w:proofErr w:type="spellStart"/>
      <w:r>
        <w:rPr>
          <w:rFonts w:ascii="Times New Roman" w:hAnsi="Times New Roman"/>
          <w:sz w:val="24"/>
          <w:lang w:val="en-GB"/>
        </w:rPr>
        <w:t>Pratrices</w:t>
      </w:r>
      <w:proofErr w:type="spellEnd"/>
      <w:r>
        <w:rPr>
          <w:rFonts w:ascii="Times New Roman" w:hAnsi="Times New Roman"/>
          <w:sz w:val="24"/>
          <w:lang w:val="en-GB"/>
        </w:rPr>
        <w:t xml:space="preserve"> in </w:t>
      </w:r>
      <w:proofErr w:type="spellStart"/>
      <w:r>
        <w:rPr>
          <w:rFonts w:ascii="Times New Roman" w:hAnsi="Times New Roman"/>
          <w:sz w:val="24"/>
          <w:lang w:val="en-GB"/>
        </w:rPr>
        <w:t>Contratual</w:t>
      </w:r>
      <w:proofErr w:type="spellEnd"/>
      <w:r>
        <w:rPr>
          <w:rFonts w:ascii="Times New Roman" w:hAnsi="Times New Roman"/>
          <w:sz w:val="24"/>
          <w:lang w:val="en-GB"/>
        </w:rPr>
        <w:t xml:space="preserve"> Licenses under the TRIPS Agreement», Intellectual property and international trade: the TRIPS agreement / ed. Carlos M. Correa, </w:t>
      </w:r>
      <w:proofErr w:type="spellStart"/>
      <w:r>
        <w:rPr>
          <w:rFonts w:ascii="Times New Roman" w:hAnsi="Times New Roman"/>
          <w:sz w:val="24"/>
          <w:lang w:val="en-GB"/>
        </w:rPr>
        <w:t>Abdulqawi</w:t>
      </w:r>
      <w:proofErr w:type="spellEnd"/>
      <w:r>
        <w:rPr>
          <w:rFonts w:ascii="Times New Roman" w:hAnsi="Times New Roman"/>
          <w:sz w:val="24"/>
          <w:lang w:val="en-GB"/>
        </w:rPr>
        <w:t xml:space="preserve"> A. Yusuf. -  2nd ed. - Alphen </w:t>
      </w:r>
      <w:proofErr w:type="spellStart"/>
      <w:r>
        <w:rPr>
          <w:rFonts w:ascii="Times New Roman" w:hAnsi="Times New Roman"/>
          <w:sz w:val="24"/>
          <w:lang w:val="en-GB"/>
        </w:rPr>
        <w:t>aan</w:t>
      </w:r>
      <w:proofErr w:type="spellEnd"/>
      <w:r>
        <w:rPr>
          <w:rFonts w:ascii="Times New Roman" w:hAnsi="Times New Roman"/>
          <w:sz w:val="24"/>
          <w:lang w:val="en-GB"/>
        </w:rPr>
        <w:t xml:space="preserve"> den Rijn, Kluwer law International, 2008.</w:t>
      </w:r>
    </w:p>
    <w:p w:rsidR="00374B8E" w:rsidRDefault="00374B8E" w:rsidP="00D97792">
      <w:pPr>
        <w:pStyle w:val="Textodenotaderodap"/>
        <w:rPr>
          <w:rFonts w:ascii="Times New Roman" w:hAnsi="Times New Roman"/>
          <w:sz w:val="24"/>
          <w:lang w:val="en-US"/>
        </w:rPr>
      </w:pPr>
    </w:p>
    <w:p w:rsidR="00374B8E" w:rsidRDefault="00374B8E" w:rsidP="00D97792">
      <w:pPr>
        <w:pStyle w:val="Textodenotaderodap"/>
        <w:rPr>
          <w:rFonts w:ascii="Times New Roman" w:hAnsi="Times New Roman"/>
          <w:sz w:val="24"/>
          <w:lang w:val="en-US" w:eastAsia="pt-PT"/>
        </w:rPr>
      </w:pPr>
      <w:r>
        <w:rPr>
          <w:rFonts w:ascii="Times New Roman" w:hAnsi="Times New Roman"/>
          <w:sz w:val="24"/>
          <w:lang w:val="en-US"/>
        </w:rPr>
        <w:t xml:space="preserve">SALAMOLARD, Jean-Marc. </w:t>
      </w:r>
      <w:proofErr w:type="gramStart"/>
      <w:r>
        <w:rPr>
          <w:rFonts w:ascii="Times New Roman" w:hAnsi="Times New Roman"/>
          <w:i/>
          <w:sz w:val="24"/>
          <w:lang w:val="en-US"/>
        </w:rPr>
        <w:t>La</w:t>
      </w:r>
      <w:proofErr w:type="gramEnd"/>
      <w:r>
        <w:rPr>
          <w:rFonts w:ascii="Times New Roman" w:hAnsi="Times New Roman"/>
          <w:i/>
          <w:sz w:val="24"/>
          <w:lang w:val="en-US"/>
        </w:rPr>
        <w:t xml:space="preserve"> </w:t>
      </w:r>
      <w:proofErr w:type="spellStart"/>
      <w:r>
        <w:rPr>
          <w:rFonts w:ascii="Times New Roman" w:hAnsi="Times New Roman"/>
          <w:i/>
          <w:sz w:val="24"/>
          <w:lang w:val="en-US"/>
        </w:rPr>
        <w:t>licence</w:t>
      </w:r>
      <w:proofErr w:type="spellEnd"/>
      <w:r>
        <w:rPr>
          <w:rFonts w:ascii="Times New Roman" w:hAnsi="Times New Roman"/>
          <w:i/>
          <w:sz w:val="24"/>
          <w:lang w:val="en-US"/>
        </w:rPr>
        <w:t xml:space="preserve"> </w:t>
      </w:r>
      <w:proofErr w:type="spellStart"/>
      <w:r>
        <w:rPr>
          <w:rFonts w:ascii="Times New Roman" w:hAnsi="Times New Roman"/>
          <w:i/>
          <w:sz w:val="24"/>
          <w:lang w:val="en-US"/>
        </w:rPr>
        <w:t>obligatoire</w:t>
      </w:r>
      <w:proofErr w:type="spellEnd"/>
      <w:r>
        <w:rPr>
          <w:rFonts w:ascii="Times New Roman" w:hAnsi="Times New Roman"/>
          <w:i/>
          <w:sz w:val="24"/>
          <w:lang w:val="en-US"/>
        </w:rPr>
        <w:t xml:space="preserve"> en </w:t>
      </w:r>
      <w:proofErr w:type="spellStart"/>
      <w:r>
        <w:rPr>
          <w:rFonts w:ascii="Times New Roman" w:hAnsi="Times New Roman"/>
          <w:i/>
          <w:sz w:val="24"/>
          <w:lang w:val="en-US"/>
        </w:rPr>
        <w:t>matière</w:t>
      </w:r>
      <w:proofErr w:type="spellEnd"/>
      <w:r>
        <w:rPr>
          <w:rFonts w:ascii="Times New Roman" w:hAnsi="Times New Roman"/>
          <w:i/>
          <w:sz w:val="24"/>
          <w:lang w:val="en-US"/>
        </w:rPr>
        <w:t xml:space="preserve"> de brevets </w:t>
      </w:r>
      <w:proofErr w:type="spellStart"/>
      <w:r>
        <w:rPr>
          <w:rFonts w:ascii="Times New Roman" w:hAnsi="Times New Roman"/>
          <w:i/>
          <w:sz w:val="24"/>
          <w:lang w:val="en-US"/>
        </w:rPr>
        <w:t>d´invention</w:t>
      </w:r>
      <w:proofErr w:type="spellEnd"/>
      <w:r>
        <w:rPr>
          <w:rFonts w:ascii="Times New Roman" w:hAnsi="Times New Roman"/>
          <w:i/>
          <w:sz w:val="24"/>
          <w:lang w:val="en-US"/>
        </w:rPr>
        <w:t xml:space="preserve">, </w:t>
      </w:r>
      <w:r>
        <w:rPr>
          <w:rFonts w:ascii="Times New Roman" w:hAnsi="Times New Roman"/>
          <w:i/>
          <w:sz w:val="24"/>
          <w:lang w:val="en-US" w:eastAsia="pt-PT"/>
        </w:rPr>
        <w:t xml:space="preserve">– </w:t>
      </w:r>
      <w:proofErr w:type="spellStart"/>
      <w:r>
        <w:rPr>
          <w:rFonts w:ascii="Times New Roman" w:hAnsi="Times New Roman"/>
          <w:i/>
          <w:sz w:val="24"/>
          <w:lang w:val="en-US" w:eastAsia="pt-PT"/>
        </w:rPr>
        <w:t>Estude</w:t>
      </w:r>
      <w:proofErr w:type="spellEnd"/>
      <w:r>
        <w:rPr>
          <w:rFonts w:ascii="Times New Roman" w:hAnsi="Times New Roman"/>
          <w:i/>
          <w:sz w:val="24"/>
          <w:lang w:val="en-US" w:eastAsia="pt-PT"/>
        </w:rPr>
        <w:t xml:space="preserve"> de </w:t>
      </w:r>
      <w:proofErr w:type="spellStart"/>
      <w:r>
        <w:rPr>
          <w:rFonts w:ascii="Times New Roman" w:hAnsi="Times New Roman"/>
          <w:i/>
          <w:sz w:val="24"/>
          <w:lang w:val="en-US" w:eastAsia="pt-PT"/>
        </w:rPr>
        <w:t>droit</w:t>
      </w:r>
      <w:proofErr w:type="spellEnd"/>
      <w:r>
        <w:rPr>
          <w:rFonts w:ascii="Times New Roman" w:hAnsi="Times New Roman"/>
          <w:i/>
          <w:sz w:val="24"/>
          <w:lang w:val="en-US" w:eastAsia="pt-PT"/>
        </w:rPr>
        <w:t xml:space="preserve"> compare</w:t>
      </w:r>
      <w:r>
        <w:rPr>
          <w:rFonts w:ascii="Times New Roman" w:hAnsi="Times New Roman"/>
          <w:sz w:val="24"/>
          <w:lang w:val="en-US" w:eastAsia="pt-PT"/>
        </w:rPr>
        <w:t xml:space="preserve">. Genève: </w:t>
      </w:r>
      <w:proofErr w:type="spellStart"/>
      <w:r>
        <w:rPr>
          <w:rFonts w:ascii="Times New Roman" w:hAnsi="Times New Roman"/>
          <w:sz w:val="24"/>
          <w:lang w:val="en-US" w:eastAsia="pt-PT"/>
        </w:rPr>
        <w:t>Libraire</w:t>
      </w:r>
      <w:proofErr w:type="spellEnd"/>
      <w:r>
        <w:rPr>
          <w:rFonts w:ascii="Times New Roman" w:hAnsi="Times New Roman"/>
          <w:sz w:val="24"/>
          <w:lang w:val="en-US" w:eastAsia="pt-PT"/>
        </w:rPr>
        <w:t xml:space="preserve"> </w:t>
      </w:r>
      <w:proofErr w:type="spellStart"/>
      <w:r>
        <w:rPr>
          <w:rFonts w:ascii="Times New Roman" w:hAnsi="Times New Roman"/>
          <w:sz w:val="24"/>
          <w:lang w:val="en-US" w:eastAsia="pt-PT"/>
        </w:rPr>
        <w:t>Doz</w:t>
      </w:r>
      <w:proofErr w:type="spellEnd"/>
      <w:r>
        <w:rPr>
          <w:rFonts w:ascii="Times New Roman" w:hAnsi="Times New Roman"/>
          <w:sz w:val="24"/>
          <w:lang w:val="en-US" w:eastAsia="pt-PT"/>
        </w:rPr>
        <w:t>, 1978.</w:t>
      </w:r>
    </w:p>
    <w:p w:rsidR="00374B8E" w:rsidRDefault="00374B8E" w:rsidP="00D97792">
      <w:pPr>
        <w:pStyle w:val="Textodenotaderodap"/>
        <w:rPr>
          <w:rFonts w:ascii="Times New Roman" w:hAnsi="Times New Roman"/>
          <w:sz w:val="24"/>
          <w:lang w:val="en-US" w:eastAsia="pt-PT"/>
        </w:rPr>
      </w:pPr>
    </w:p>
    <w:p w:rsidR="00374B8E" w:rsidRDefault="00374B8E" w:rsidP="00D97792">
      <w:pPr>
        <w:pStyle w:val="Textodenotaderodap"/>
        <w:rPr>
          <w:rFonts w:ascii="Times New Roman" w:hAnsi="Times New Roman"/>
          <w:sz w:val="24"/>
          <w:lang w:val="en-US"/>
        </w:rPr>
      </w:pPr>
      <w:r>
        <w:rPr>
          <w:rFonts w:ascii="Times New Roman" w:hAnsi="Times New Roman"/>
          <w:sz w:val="24"/>
          <w:lang w:val="en-US"/>
        </w:rPr>
        <w:t xml:space="preserve">SCHMIDT-SZALEWSKI, Joanna; PIERRE, Jean-Luc. </w:t>
      </w:r>
      <w:r>
        <w:rPr>
          <w:rFonts w:ascii="Times New Roman" w:hAnsi="Times New Roman"/>
          <w:i/>
          <w:sz w:val="24"/>
        </w:rPr>
        <w:t>Droit de La propriété industrielle</w:t>
      </w:r>
      <w:r>
        <w:rPr>
          <w:rFonts w:ascii="Times New Roman" w:hAnsi="Times New Roman"/>
          <w:sz w:val="24"/>
        </w:rPr>
        <w:t xml:space="preserve">. </w:t>
      </w:r>
      <w:r>
        <w:rPr>
          <w:rFonts w:ascii="Times New Roman" w:hAnsi="Times New Roman"/>
          <w:sz w:val="24"/>
          <w:lang w:val="en-US" w:eastAsia="pt-PT"/>
        </w:rPr>
        <w:t xml:space="preserve">3. ed. Paris: </w:t>
      </w:r>
      <w:proofErr w:type="spellStart"/>
      <w:r>
        <w:rPr>
          <w:rFonts w:ascii="Times New Roman" w:hAnsi="Times New Roman"/>
          <w:sz w:val="24"/>
          <w:lang w:val="en-US" w:eastAsia="pt-PT"/>
        </w:rPr>
        <w:t>Litec</w:t>
      </w:r>
      <w:proofErr w:type="spellEnd"/>
      <w:r>
        <w:rPr>
          <w:rFonts w:ascii="Times New Roman" w:hAnsi="Times New Roman"/>
          <w:sz w:val="24"/>
          <w:lang w:val="en-US" w:eastAsia="pt-PT"/>
        </w:rPr>
        <w:t>, 2003.</w:t>
      </w:r>
    </w:p>
    <w:p w:rsidR="00374B8E" w:rsidRDefault="00374B8E" w:rsidP="00D97792">
      <w:pPr>
        <w:pStyle w:val="Textodenotaderodap"/>
        <w:rPr>
          <w:rFonts w:ascii="Times New Roman" w:hAnsi="Times New Roman"/>
          <w:sz w:val="24"/>
          <w:lang w:val="en-US"/>
        </w:rPr>
      </w:pPr>
    </w:p>
    <w:p w:rsidR="00374B8E" w:rsidRDefault="00374B8E" w:rsidP="00D97792">
      <w:pPr>
        <w:pStyle w:val="Textodenotaderodap"/>
        <w:rPr>
          <w:rFonts w:ascii="Times New Roman" w:hAnsi="Times New Roman"/>
          <w:sz w:val="24"/>
          <w:lang w:val="en-US"/>
        </w:rPr>
      </w:pPr>
      <w:r>
        <w:rPr>
          <w:rFonts w:ascii="Times New Roman" w:hAnsi="Times New Roman"/>
          <w:sz w:val="24"/>
          <w:lang w:val="en-US"/>
        </w:rPr>
        <w:t>TAUBMAN, Antony. R</w:t>
      </w:r>
      <w:bookmarkStart w:id="0" w:name="_GoBack"/>
      <w:bookmarkEnd w:id="0"/>
      <w:r>
        <w:rPr>
          <w:rFonts w:ascii="Times New Roman" w:hAnsi="Times New Roman"/>
          <w:sz w:val="24"/>
          <w:lang w:val="en-US"/>
        </w:rPr>
        <w:t xml:space="preserve">ethinking Trips: ´Adequate Remuneration´ for Non-Voluntary Patent Licensing. </w:t>
      </w:r>
      <w:r>
        <w:rPr>
          <w:rFonts w:ascii="Times New Roman" w:hAnsi="Times New Roman"/>
          <w:i/>
          <w:sz w:val="24"/>
          <w:lang w:val="en-US"/>
        </w:rPr>
        <w:t>JIEL</w:t>
      </w:r>
      <w:r>
        <w:rPr>
          <w:rFonts w:ascii="Times New Roman" w:hAnsi="Times New Roman"/>
          <w:sz w:val="24"/>
          <w:lang w:val="en-US"/>
        </w:rPr>
        <w:t>, v. 11, 4, Oxford University Press, 2008.</w:t>
      </w:r>
    </w:p>
    <w:p w:rsidR="00374B8E" w:rsidRDefault="00374B8E" w:rsidP="00D97792">
      <w:pPr>
        <w:pStyle w:val="Textodenotaderodap"/>
        <w:rPr>
          <w:rFonts w:ascii="Times New Roman" w:hAnsi="Times New Roman"/>
          <w:sz w:val="24"/>
          <w:lang w:val="en-US"/>
        </w:rPr>
      </w:pPr>
    </w:p>
    <w:p w:rsidR="00374B8E" w:rsidRDefault="00374B8E" w:rsidP="00D97792">
      <w:pPr>
        <w:pStyle w:val="Textodenotaderodap"/>
        <w:rPr>
          <w:rFonts w:ascii="Times New Roman" w:hAnsi="Times New Roman"/>
          <w:iCs/>
          <w:sz w:val="24"/>
          <w:lang w:val="pt-BR"/>
        </w:rPr>
      </w:pPr>
      <w:r>
        <w:rPr>
          <w:rFonts w:ascii="Times New Roman" w:hAnsi="Times New Roman"/>
          <w:sz w:val="24"/>
          <w:lang w:val="en-US" w:eastAsia="pt-PT"/>
        </w:rPr>
        <w:t xml:space="preserve">TROLLER, </w:t>
      </w:r>
      <w:proofErr w:type="spellStart"/>
      <w:r>
        <w:rPr>
          <w:rFonts w:ascii="Times New Roman" w:hAnsi="Times New Roman"/>
          <w:sz w:val="24"/>
          <w:lang w:val="en-US" w:eastAsia="pt-PT"/>
        </w:rPr>
        <w:t>Kamen</w:t>
      </w:r>
      <w:proofErr w:type="spellEnd"/>
      <w:r>
        <w:rPr>
          <w:rFonts w:ascii="Times New Roman" w:hAnsi="Times New Roman"/>
          <w:sz w:val="24"/>
          <w:lang w:val="en-US" w:eastAsia="pt-PT"/>
        </w:rPr>
        <w:t xml:space="preserve">. </w:t>
      </w:r>
      <w:r>
        <w:rPr>
          <w:rFonts w:ascii="Times New Roman" w:hAnsi="Times New Roman"/>
          <w:i/>
          <w:iCs/>
          <w:sz w:val="24"/>
          <w:lang w:val="en-US" w:eastAsia="pt-PT"/>
        </w:rPr>
        <w:t xml:space="preserve">Précis de </w:t>
      </w:r>
      <w:proofErr w:type="spellStart"/>
      <w:r>
        <w:rPr>
          <w:rFonts w:ascii="Times New Roman" w:hAnsi="Times New Roman"/>
          <w:i/>
          <w:iCs/>
          <w:sz w:val="24"/>
          <w:lang w:val="en-US" w:eastAsia="pt-PT"/>
        </w:rPr>
        <w:t>droit</w:t>
      </w:r>
      <w:proofErr w:type="spellEnd"/>
      <w:r>
        <w:rPr>
          <w:rFonts w:ascii="Times New Roman" w:hAnsi="Times New Roman"/>
          <w:i/>
          <w:iCs/>
          <w:sz w:val="24"/>
          <w:lang w:val="en-US" w:eastAsia="pt-PT"/>
        </w:rPr>
        <w:t xml:space="preserve"> </w:t>
      </w:r>
      <w:proofErr w:type="spellStart"/>
      <w:r>
        <w:rPr>
          <w:rFonts w:ascii="Times New Roman" w:hAnsi="Times New Roman"/>
          <w:i/>
          <w:iCs/>
          <w:sz w:val="24"/>
          <w:lang w:val="en-US" w:eastAsia="pt-PT"/>
        </w:rPr>
        <w:t>suisse</w:t>
      </w:r>
      <w:proofErr w:type="spellEnd"/>
      <w:r>
        <w:rPr>
          <w:rFonts w:ascii="Times New Roman" w:hAnsi="Times New Roman"/>
          <w:i/>
          <w:iCs/>
          <w:sz w:val="24"/>
          <w:lang w:val="en-US" w:eastAsia="pt-PT"/>
        </w:rPr>
        <w:t xml:space="preserve"> des </w:t>
      </w:r>
      <w:proofErr w:type="spellStart"/>
      <w:r>
        <w:rPr>
          <w:rFonts w:ascii="Times New Roman" w:hAnsi="Times New Roman"/>
          <w:i/>
          <w:iCs/>
          <w:sz w:val="24"/>
          <w:lang w:val="en-US" w:eastAsia="pt-PT"/>
        </w:rPr>
        <w:t>biens</w:t>
      </w:r>
      <w:proofErr w:type="spellEnd"/>
      <w:r>
        <w:rPr>
          <w:rFonts w:ascii="Times New Roman" w:hAnsi="Times New Roman"/>
          <w:i/>
          <w:iCs/>
          <w:sz w:val="24"/>
          <w:lang w:val="en-US" w:eastAsia="pt-PT"/>
        </w:rPr>
        <w:t xml:space="preserve"> </w:t>
      </w:r>
      <w:proofErr w:type="spellStart"/>
      <w:r>
        <w:rPr>
          <w:rFonts w:ascii="Times New Roman" w:hAnsi="Times New Roman"/>
          <w:i/>
          <w:iCs/>
          <w:sz w:val="24"/>
          <w:lang w:val="en-US" w:eastAsia="pt-PT"/>
        </w:rPr>
        <w:t>immatériels</w:t>
      </w:r>
      <w:proofErr w:type="spellEnd"/>
      <w:r>
        <w:rPr>
          <w:rFonts w:ascii="Times New Roman" w:hAnsi="Times New Roman"/>
          <w:i/>
          <w:iCs/>
          <w:sz w:val="24"/>
          <w:lang w:val="en-US" w:eastAsia="pt-PT"/>
        </w:rPr>
        <w:t xml:space="preserve">. </w:t>
      </w:r>
      <w:r>
        <w:rPr>
          <w:rFonts w:ascii="Times New Roman" w:hAnsi="Times New Roman"/>
          <w:iCs/>
          <w:sz w:val="24"/>
          <w:lang w:eastAsia="pt-PT"/>
        </w:rPr>
        <w:t xml:space="preserve">2. ed. </w:t>
      </w:r>
      <w:r>
        <w:rPr>
          <w:rFonts w:ascii="Times New Roman" w:hAnsi="Times New Roman"/>
          <w:i/>
          <w:iCs/>
          <w:sz w:val="24"/>
          <w:lang w:eastAsia="pt-PT"/>
        </w:rPr>
        <w:t> </w:t>
      </w:r>
      <w:r>
        <w:rPr>
          <w:rFonts w:ascii="Times New Roman" w:hAnsi="Times New Roman"/>
          <w:iCs/>
          <w:sz w:val="24"/>
          <w:lang w:eastAsia="pt-PT"/>
        </w:rPr>
        <w:t>Bâle, Helbing &amp; Lichtenhahn, 2006</w:t>
      </w:r>
      <w:r>
        <w:rPr>
          <w:rFonts w:ascii="Times New Roman" w:hAnsi="Times New Roman"/>
          <w:iCs/>
          <w:sz w:val="24"/>
        </w:rPr>
        <w:t>.</w:t>
      </w:r>
    </w:p>
    <w:p w:rsidR="00374B8E" w:rsidRDefault="00374B8E" w:rsidP="00D97792">
      <w:pPr>
        <w:pStyle w:val="Textodenotaderodap"/>
        <w:rPr>
          <w:rFonts w:ascii="Times New Roman" w:hAnsi="Times New Roman"/>
          <w:iCs/>
          <w:sz w:val="24"/>
        </w:rPr>
      </w:pPr>
    </w:p>
    <w:p w:rsidR="00374B8E" w:rsidRPr="00E86F38" w:rsidRDefault="00374B8E" w:rsidP="00D97792">
      <w:pPr>
        <w:pStyle w:val="Textodenotaderodap"/>
        <w:rPr>
          <w:rFonts w:ascii="Times New Roman" w:hAnsi="Times New Roman"/>
          <w:sz w:val="24"/>
          <w:lang w:val="en-US" w:eastAsia="pt-PT"/>
        </w:rPr>
      </w:pPr>
      <w:r>
        <w:rPr>
          <w:rFonts w:ascii="Times New Roman" w:hAnsi="Times New Roman"/>
          <w:sz w:val="24"/>
        </w:rPr>
        <w:t xml:space="preserve">VICENTE, Dário Moura. </w:t>
      </w:r>
      <w:r>
        <w:rPr>
          <w:rFonts w:ascii="Times New Roman" w:hAnsi="Times New Roman"/>
          <w:i/>
          <w:sz w:val="24"/>
          <w:lang w:eastAsia="pt-PT"/>
        </w:rPr>
        <w:t>A Tutela Internacional da Propriedade Intelectual</w:t>
      </w:r>
      <w:r>
        <w:rPr>
          <w:rFonts w:ascii="Times New Roman" w:hAnsi="Times New Roman"/>
          <w:sz w:val="24"/>
          <w:lang w:eastAsia="pt-PT"/>
        </w:rPr>
        <w:t xml:space="preserve">. </w:t>
      </w:r>
      <w:r w:rsidRPr="00E86F38">
        <w:rPr>
          <w:rFonts w:ascii="Times New Roman" w:hAnsi="Times New Roman"/>
          <w:sz w:val="24"/>
          <w:lang w:val="en-US" w:eastAsia="pt-PT"/>
        </w:rPr>
        <w:t xml:space="preserve">Coimbra: </w:t>
      </w:r>
      <w:proofErr w:type="spellStart"/>
      <w:r w:rsidRPr="00E86F38">
        <w:rPr>
          <w:rFonts w:ascii="Times New Roman" w:hAnsi="Times New Roman"/>
          <w:sz w:val="24"/>
          <w:lang w:val="en-US" w:eastAsia="pt-PT"/>
        </w:rPr>
        <w:t>Almedina</w:t>
      </w:r>
      <w:proofErr w:type="spellEnd"/>
      <w:r w:rsidRPr="00E86F38">
        <w:rPr>
          <w:rFonts w:ascii="Times New Roman" w:hAnsi="Times New Roman"/>
          <w:sz w:val="24"/>
          <w:lang w:val="en-US" w:eastAsia="pt-PT"/>
        </w:rPr>
        <w:t>, 2009.</w:t>
      </w:r>
    </w:p>
    <w:p w:rsidR="00374B8E" w:rsidRPr="00E86F38" w:rsidRDefault="00374B8E" w:rsidP="00D97792">
      <w:pPr>
        <w:pStyle w:val="Textodenotaderodap"/>
        <w:rPr>
          <w:rFonts w:ascii="Times New Roman" w:hAnsi="Times New Roman"/>
          <w:sz w:val="24"/>
          <w:lang w:val="en-US" w:eastAsia="pt-PT"/>
        </w:rPr>
      </w:pPr>
    </w:p>
    <w:p w:rsidR="00374B8E" w:rsidRDefault="00374B8E" w:rsidP="00D97792">
      <w:pPr>
        <w:pStyle w:val="Textodenotaderodap"/>
        <w:rPr>
          <w:rFonts w:ascii="Times New Roman" w:hAnsi="Times New Roman"/>
          <w:sz w:val="24"/>
        </w:rPr>
      </w:pPr>
      <w:r>
        <w:rPr>
          <w:rFonts w:ascii="Times New Roman" w:hAnsi="Times New Roman"/>
          <w:sz w:val="24"/>
          <w:lang w:val="en-US" w:eastAsia="pt-PT"/>
        </w:rPr>
        <w:t>YOSICK, Joseph A</w:t>
      </w:r>
      <w:r>
        <w:rPr>
          <w:rFonts w:ascii="Times New Roman" w:hAnsi="Times New Roman"/>
          <w:i/>
          <w:sz w:val="24"/>
          <w:lang w:val="en-US" w:eastAsia="pt-PT"/>
        </w:rPr>
        <w:t xml:space="preserve">. </w:t>
      </w:r>
      <w:r>
        <w:rPr>
          <w:rFonts w:ascii="Times New Roman" w:hAnsi="Times New Roman"/>
          <w:sz w:val="24"/>
          <w:lang w:val="en-US" w:eastAsia="pt-PT"/>
        </w:rPr>
        <w:t xml:space="preserve">Compulsory patent licensing for efficient use of inventions», </w:t>
      </w:r>
      <w:r>
        <w:rPr>
          <w:rFonts w:ascii="Times New Roman" w:hAnsi="Times New Roman"/>
          <w:i/>
          <w:sz w:val="24"/>
          <w:lang w:val="en-US" w:eastAsia="pt-PT"/>
        </w:rPr>
        <w:t>University of Illinois law review</w:t>
      </w:r>
      <w:r>
        <w:rPr>
          <w:rFonts w:ascii="Times New Roman" w:hAnsi="Times New Roman"/>
          <w:sz w:val="24"/>
          <w:lang w:val="en-US" w:eastAsia="pt-PT"/>
        </w:rPr>
        <w:t xml:space="preserve">, 2001. </w:t>
      </w:r>
      <w:r>
        <w:rPr>
          <w:rFonts w:ascii="Times New Roman" w:hAnsi="Times New Roman"/>
          <w:sz w:val="24"/>
          <w:lang w:eastAsia="pt-PT"/>
        </w:rPr>
        <w:t>Disponível em:&lt; http://www.brinkshofer.com/files/107.pdf&gt;. Consultado em 15.12.10.</w:t>
      </w:r>
    </w:p>
    <w:p w:rsidR="00E4618E" w:rsidRDefault="00E4618E"/>
    <w:sectPr w:rsidR="00E4618E" w:rsidSect="001B395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52" w:rsidRDefault="00D24952" w:rsidP="00374B8E">
      <w:r>
        <w:separator/>
      </w:r>
    </w:p>
  </w:endnote>
  <w:endnote w:type="continuationSeparator" w:id="0">
    <w:p w:rsidR="00D24952" w:rsidRDefault="00D24952" w:rsidP="0037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lack Chancery">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Serif">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52" w:rsidRDefault="00D24952" w:rsidP="00374B8E">
      <w:r>
        <w:separator/>
      </w:r>
    </w:p>
  </w:footnote>
  <w:footnote w:type="continuationSeparator" w:id="0">
    <w:p w:rsidR="00D24952" w:rsidRDefault="00D24952" w:rsidP="00374B8E">
      <w:r>
        <w:continuationSeparator/>
      </w:r>
    </w:p>
  </w:footnote>
  <w:footnote w:id="1">
    <w:p w:rsidR="00374B8E" w:rsidRPr="00DA79A8" w:rsidRDefault="00374B8E" w:rsidP="00374B8E">
      <w:pPr>
        <w:pStyle w:val="Textodenotaderodap"/>
        <w:jc w:val="both"/>
        <w:rPr>
          <w:rFonts w:ascii="Times New Roman" w:hAnsi="Times New Roman"/>
          <w:szCs w:val="20"/>
          <w:lang w:val="pt-BR"/>
        </w:rPr>
      </w:pPr>
      <w:r w:rsidRPr="00DA79A8">
        <w:rPr>
          <w:rStyle w:val="Caracteresdenotaderodap"/>
        </w:rPr>
        <w:footnoteRef/>
      </w:r>
      <w:r w:rsidRPr="00DA79A8">
        <w:rPr>
          <w:rFonts w:ascii="Times New Roman" w:hAnsi="Times New Roman"/>
          <w:lang w:val="en-US"/>
        </w:rPr>
        <w:t xml:space="preserve"> A </w:t>
      </w:r>
      <w:proofErr w:type="spellStart"/>
      <w:r w:rsidRPr="00DA79A8">
        <w:rPr>
          <w:rFonts w:ascii="Times New Roman" w:hAnsi="Times New Roman"/>
          <w:lang w:val="en-US"/>
        </w:rPr>
        <w:t>título</w:t>
      </w:r>
      <w:proofErr w:type="spellEnd"/>
      <w:r w:rsidRPr="00DA79A8">
        <w:rPr>
          <w:rFonts w:ascii="Times New Roman" w:hAnsi="Times New Roman"/>
          <w:lang w:val="en-US"/>
        </w:rPr>
        <w:t xml:space="preserve"> de </w:t>
      </w:r>
      <w:proofErr w:type="spellStart"/>
      <w:r w:rsidRPr="00DA79A8">
        <w:rPr>
          <w:rFonts w:ascii="Times New Roman" w:hAnsi="Times New Roman"/>
          <w:lang w:val="en-US"/>
        </w:rPr>
        <w:t>exemplo</w:t>
      </w:r>
      <w:proofErr w:type="spellEnd"/>
      <w:r w:rsidRPr="00DA79A8">
        <w:rPr>
          <w:rFonts w:ascii="Times New Roman" w:hAnsi="Times New Roman"/>
          <w:lang w:val="en-US"/>
        </w:rPr>
        <w:t xml:space="preserve">, </w:t>
      </w:r>
      <w:proofErr w:type="spellStart"/>
      <w:r w:rsidRPr="00DA79A8">
        <w:rPr>
          <w:rFonts w:ascii="Times New Roman" w:hAnsi="Times New Roman"/>
          <w:lang w:val="en-US"/>
        </w:rPr>
        <w:t>podemos</w:t>
      </w:r>
      <w:proofErr w:type="spellEnd"/>
      <w:r w:rsidRPr="00DA79A8">
        <w:rPr>
          <w:rFonts w:ascii="Times New Roman" w:hAnsi="Times New Roman"/>
          <w:lang w:val="en-US"/>
        </w:rPr>
        <w:t xml:space="preserve"> </w:t>
      </w:r>
      <w:proofErr w:type="spellStart"/>
      <w:r w:rsidRPr="00DA79A8">
        <w:rPr>
          <w:rFonts w:ascii="Times New Roman" w:hAnsi="Times New Roman"/>
          <w:lang w:val="en-US"/>
        </w:rPr>
        <w:t>mencionar</w:t>
      </w:r>
      <w:proofErr w:type="spellEnd"/>
      <w:r w:rsidRPr="00DA79A8">
        <w:rPr>
          <w:rFonts w:ascii="Times New Roman" w:hAnsi="Times New Roman"/>
          <w:lang w:val="en-US"/>
        </w:rPr>
        <w:t xml:space="preserve"> </w:t>
      </w:r>
      <w:proofErr w:type="gramStart"/>
      <w:r w:rsidRPr="00DA79A8">
        <w:rPr>
          <w:rFonts w:ascii="Times New Roman" w:hAnsi="Times New Roman"/>
          <w:lang w:val="en-US" w:eastAsia="pt-PT"/>
        </w:rPr>
        <w:t>CORREA ,</w:t>
      </w:r>
      <w:proofErr w:type="gramEnd"/>
      <w:r>
        <w:rPr>
          <w:rFonts w:ascii="Times New Roman" w:hAnsi="Times New Roman"/>
          <w:lang w:val="en-US" w:eastAsia="pt-PT"/>
        </w:rPr>
        <w:t xml:space="preserve"> </w:t>
      </w:r>
      <w:r w:rsidRPr="00DA79A8">
        <w:rPr>
          <w:rFonts w:ascii="Times New Roman" w:hAnsi="Times New Roman"/>
          <w:i/>
          <w:lang w:val="en-US"/>
        </w:rPr>
        <w:t>Intellectual Property Rights and the use of Compulsory Licenses: Options for Developing Countries</w:t>
      </w:r>
      <w:r w:rsidRPr="00DA79A8">
        <w:rPr>
          <w:rFonts w:ascii="Times New Roman" w:hAnsi="Times New Roman"/>
          <w:lang w:val="en-US"/>
        </w:rPr>
        <w:t xml:space="preserve">, Trade-Related Agenda, Development, and Equity, Working papers, South Center, </w:t>
      </w:r>
      <w:proofErr w:type="spellStart"/>
      <w:r w:rsidRPr="00DA79A8">
        <w:rPr>
          <w:rFonts w:ascii="Times New Roman" w:hAnsi="Times New Roman"/>
          <w:lang w:val="en-US"/>
        </w:rPr>
        <w:t>Geneve</w:t>
      </w:r>
      <w:proofErr w:type="spellEnd"/>
      <w:r w:rsidRPr="00DA79A8">
        <w:rPr>
          <w:rFonts w:ascii="Times New Roman" w:hAnsi="Times New Roman"/>
          <w:lang w:val="en-US"/>
        </w:rPr>
        <w:t xml:space="preserve">, p. 3. </w:t>
      </w:r>
      <w:r w:rsidRPr="00DA79A8">
        <w:rPr>
          <w:rFonts w:ascii="Times New Roman" w:hAnsi="Times New Roman"/>
          <w:lang w:val="pt-BR"/>
        </w:rPr>
        <w:t xml:space="preserve">Disponível em: </w:t>
      </w:r>
      <w:proofErr w:type="gramStart"/>
      <w:r w:rsidRPr="00DA79A8">
        <w:rPr>
          <w:rFonts w:ascii="Times New Roman" w:hAnsi="Times New Roman"/>
          <w:lang w:val="pt-BR"/>
        </w:rPr>
        <w:t>http://www.southcentre.org/index.php?option=com_content&amp;task=view&amp;id=75&amp;Itemid=1..</w:t>
      </w:r>
      <w:proofErr w:type="gramEnd"/>
      <w:r w:rsidRPr="00DA79A8">
        <w:rPr>
          <w:rFonts w:ascii="Times New Roman" w:hAnsi="Times New Roman"/>
          <w:lang w:val="pt-BR"/>
        </w:rPr>
        <w:t xml:space="preserve"> </w:t>
      </w:r>
      <w:proofErr w:type="spellStart"/>
      <w:r w:rsidRPr="00DA79A8">
        <w:rPr>
          <w:rFonts w:ascii="Times New Roman" w:hAnsi="Times New Roman"/>
          <w:lang w:val="en-US"/>
        </w:rPr>
        <w:t>C</w:t>
      </w:r>
      <w:r w:rsidRPr="00DA79A8">
        <w:rPr>
          <w:rFonts w:ascii="Times New Roman" w:hAnsi="Times New Roman"/>
          <w:lang w:val="en-US" w:eastAsia="pt-PT"/>
        </w:rPr>
        <w:t>onsultado</w:t>
      </w:r>
      <w:proofErr w:type="spellEnd"/>
      <w:r w:rsidRPr="00DA79A8">
        <w:rPr>
          <w:rFonts w:ascii="Times New Roman" w:hAnsi="Times New Roman"/>
          <w:lang w:val="en-US" w:eastAsia="pt-PT"/>
        </w:rPr>
        <w:t xml:space="preserve"> </w:t>
      </w:r>
      <w:proofErr w:type="spellStart"/>
      <w:r w:rsidRPr="00DA79A8">
        <w:rPr>
          <w:rFonts w:ascii="Times New Roman" w:hAnsi="Times New Roman"/>
          <w:lang w:val="en-US" w:eastAsia="pt-PT"/>
        </w:rPr>
        <w:t>em</w:t>
      </w:r>
      <w:proofErr w:type="spellEnd"/>
      <w:r w:rsidRPr="00DA79A8">
        <w:rPr>
          <w:rFonts w:ascii="Times New Roman" w:hAnsi="Times New Roman"/>
          <w:lang w:val="en-US" w:eastAsia="pt-PT"/>
        </w:rPr>
        <w:t>: 17.01.2011</w:t>
      </w:r>
      <w:r w:rsidRPr="00DA79A8">
        <w:rPr>
          <w:rFonts w:ascii="Times New Roman" w:hAnsi="Times New Roman"/>
          <w:lang w:val="en-US"/>
        </w:rPr>
        <w:t xml:space="preserve">, </w:t>
      </w:r>
      <w:proofErr w:type="spellStart"/>
      <w:r w:rsidRPr="00DA79A8">
        <w:rPr>
          <w:rFonts w:ascii="Times New Roman" w:hAnsi="Times New Roman"/>
          <w:lang w:val="en-US"/>
        </w:rPr>
        <w:t>que</w:t>
      </w:r>
      <w:proofErr w:type="spellEnd"/>
      <w:r w:rsidRPr="00DA79A8">
        <w:rPr>
          <w:rFonts w:ascii="Times New Roman" w:hAnsi="Times New Roman"/>
          <w:lang w:val="en-US"/>
        </w:rPr>
        <w:t xml:space="preserve"> </w:t>
      </w:r>
      <w:proofErr w:type="spellStart"/>
      <w:r w:rsidRPr="00DA79A8">
        <w:rPr>
          <w:rFonts w:ascii="Times New Roman" w:hAnsi="Times New Roman"/>
          <w:lang w:val="en-US"/>
        </w:rPr>
        <w:t>refere</w:t>
      </w:r>
      <w:proofErr w:type="spellEnd"/>
      <w:r w:rsidRPr="00DA79A8">
        <w:rPr>
          <w:rFonts w:ascii="Times New Roman" w:hAnsi="Times New Roman"/>
          <w:lang w:val="en-US"/>
        </w:rPr>
        <w:t xml:space="preserve"> </w:t>
      </w:r>
      <w:proofErr w:type="spellStart"/>
      <w:r w:rsidRPr="00DA79A8">
        <w:rPr>
          <w:rFonts w:ascii="Times New Roman" w:hAnsi="Times New Roman"/>
          <w:lang w:val="en-US"/>
        </w:rPr>
        <w:t>que</w:t>
      </w:r>
      <w:proofErr w:type="spellEnd"/>
      <w:r w:rsidRPr="00DA79A8">
        <w:rPr>
          <w:rFonts w:ascii="Times New Roman" w:hAnsi="Times New Roman"/>
          <w:lang w:val="en-US"/>
        </w:rPr>
        <w:t xml:space="preserve"> a </w:t>
      </w:r>
      <w:proofErr w:type="spellStart"/>
      <w:r w:rsidRPr="00DA79A8">
        <w:rPr>
          <w:rFonts w:ascii="Times New Roman" w:hAnsi="Times New Roman"/>
          <w:lang w:val="en-US"/>
        </w:rPr>
        <w:t>licença</w:t>
      </w:r>
      <w:proofErr w:type="spellEnd"/>
      <w:r w:rsidRPr="00DA79A8">
        <w:rPr>
          <w:rFonts w:ascii="Times New Roman" w:hAnsi="Times New Roman"/>
          <w:lang w:val="en-US"/>
        </w:rPr>
        <w:t xml:space="preserve"> </w:t>
      </w:r>
      <w:proofErr w:type="spellStart"/>
      <w:r w:rsidRPr="00DA79A8">
        <w:rPr>
          <w:rFonts w:ascii="Times New Roman" w:hAnsi="Times New Roman"/>
          <w:lang w:val="en-US"/>
        </w:rPr>
        <w:t>compulsória</w:t>
      </w:r>
      <w:proofErr w:type="spellEnd"/>
      <w:r w:rsidRPr="00DA79A8">
        <w:rPr>
          <w:rFonts w:ascii="Times New Roman" w:hAnsi="Times New Roman"/>
          <w:lang w:val="en-US"/>
        </w:rPr>
        <w:t xml:space="preserve"> </w:t>
      </w:r>
      <w:proofErr w:type="spellStart"/>
      <w:r w:rsidRPr="00DA79A8">
        <w:rPr>
          <w:rFonts w:ascii="Times New Roman" w:hAnsi="Times New Roman"/>
          <w:lang w:val="en-US"/>
        </w:rPr>
        <w:t>consiste</w:t>
      </w:r>
      <w:proofErr w:type="spellEnd"/>
      <w:r w:rsidRPr="00DA79A8">
        <w:rPr>
          <w:rFonts w:ascii="Times New Roman" w:hAnsi="Times New Roman"/>
          <w:lang w:val="en-US"/>
        </w:rPr>
        <w:t xml:space="preserve"> </w:t>
      </w:r>
      <w:r w:rsidRPr="00DA79A8">
        <w:rPr>
          <w:rFonts w:ascii="Times New Roman" w:hAnsi="Times New Roman"/>
          <w:i/>
          <w:iCs/>
          <w:lang w:val="en-US"/>
        </w:rPr>
        <w:t xml:space="preserve">“an authorization given by a national authority to a person, without or against the consent of the title-holder, for the exploitation of a subject matter protected by </w:t>
      </w:r>
      <w:proofErr w:type="spellStart"/>
      <w:r w:rsidRPr="00DA79A8">
        <w:rPr>
          <w:rFonts w:ascii="Times New Roman" w:hAnsi="Times New Roman"/>
          <w:i/>
          <w:iCs/>
          <w:lang w:val="en-US"/>
        </w:rPr>
        <w:t>apatent</w:t>
      </w:r>
      <w:proofErr w:type="spellEnd"/>
      <w:r w:rsidRPr="00DA79A8">
        <w:rPr>
          <w:rFonts w:ascii="Times New Roman" w:hAnsi="Times New Roman"/>
          <w:i/>
          <w:iCs/>
          <w:lang w:val="en-US"/>
        </w:rPr>
        <w:t xml:space="preserve"> or other intellectual property rights.” </w:t>
      </w:r>
      <w:r w:rsidRPr="00DA79A8">
        <w:rPr>
          <w:rFonts w:ascii="Times New Roman" w:hAnsi="Times New Roman"/>
          <w:i/>
          <w:lang w:eastAsia="pt-PT"/>
        </w:rPr>
        <w:t xml:space="preserve">TROLLER, </w:t>
      </w:r>
      <w:r w:rsidRPr="00DA79A8">
        <w:rPr>
          <w:rFonts w:ascii="Times New Roman" w:hAnsi="Times New Roman"/>
          <w:i/>
          <w:iCs/>
          <w:lang w:eastAsia="pt-PT"/>
        </w:rPr>
        <w:t>Précis de droit suisse des biens immatériels, 2. ed., Bâle, Helbing &amp; Lichtenhahn, 2006</w:t>
      </w:r>
      <w:r w:rsidRPr="00DA79A8">
        <w:rPr>
          <w:rFonts w:ascii="Times New Roman" w:hAnsi="Times New Roman"/>
          <w:i/>
          <w:iCs/>
        </w:rPr>
        <w:t>, p. 299</w:t>
      </w:r>
      <w:r w:rsidRPr="00DA79A8">
        <w:rPr>
          <w:rFonts w:ascii="Times New Roman" w:hAnsi="Times New Roman"/>
          <w:i/>
        </w:rPr>
        <w:t xml:space="preserve">, que sucintamente afirma que </w:t>
      </w:r>
      <w:r w:rsidRPr="00DA79A8">
        <w:rPr>
          <w:rFonts w:ascii="Times New Roman" w:hAnsi="Times New Roman"/>
          <w:i/>
          <w:iCs/>
        </w:rPr>
        <w:t>“le licence obligatoire est un licence imposée par la loi. Dès que les conditions légales sont remplies, le preneur peut exiger que le titulaire du droit exclusif lui accorde une licence</w:t>
      </w:r>
      <w:r>
        <w:rPr>
          <w:rFonts w:ascii="Times New Roman" w:hAnsi="Times New Roman"/>
          <w:i/>
          <w:iCs/>
        </w:rPr>
        <w:t>.”</w:t>
      </w:r>
    </w:p>
  </w:footnote>
  <w:footnote w:id="2">
    <w:p w:rsidR="00374B8E" w:rsidRPr="00DA79A8" w:rsidRDefault="00374B8E" w:rsidP="00374B8E">
      <w:pPr>
        <w:pStyle w:val="Textodenotaderodap"/>
        <w:jc w:val="both"/>
        <w:rPr>
          <w:rFonts w:ascii="Times New Roman" w:hAnsi="Times New Roman"/>
          <w:lang w:val="pt-BR"/>
        </w:rPr>
      </w:pPr>
      <w:r w:rsidRPr="00DA79A8">
        <w:rPr>
          <w:rStyle w:val="Caracteresdenotaderodap"/>
        </w:rPr>
        <w:footnoteRef/>
      </w:r>
      <w:r w:rsidRPr="00DA79A8">
        <w:rPr>
          <w:rFonts w:ascii="Times New Roman" w:hAnsi="Times New Roman"/>
        </w:rPr>
        <w:t xml:space="preserve"> Importa mencionar que na Directiva 98/44/CE do Parlamento Europeu e do Conselho de 6 de Julho de 1998, relativa à protecção jurídica das Invenções Biotecnológicas, que foi transposta através do Decreto-lei 36/2003 de 5 de Março, em que foi realizada uma grande reforma, dando origem ao nosso CPI de 2003, já mencionava a existência de “Licenças Obrigatórias por dependência”, no seu art.12º, nº2, para o caso de um titular de uma patente que dissesse respeito a uma invenção biotecnológica, não puder explorá-la sem infringir um direito de obtenção vegetal anterior. Em bom rigor, sendo que estamos perante invenções patenteáveis, não foi necessário transpô-la, pois, desde o CPI de 1995 que já era prevista a concessão deste tipo de licenças com o fundamento mencionado. </w:t>
      </w:r>
    </w:p>
  </w:footnote>
  <w:footnote w:id="3">
    <w:p w:rsidR="00374B8E" w:rsidRPr="00DA79A8" w:rsidRDefault="00374B8E" w:rsidP="00374B8E">
      <w:pPr>
        <w:pStyle w:val="Textodenotaderodap"/>
        <w:jc w:val="both"/>
        <w:rPr>
          <w:rFonts w:ascii="Times New Roman" w:hAnsi="Times New Roman"/>
          <w:lang w:val="pt-BR"/>
        </w:rPr>
      </w:pPr>
      <w:r w:rsidRPr="00DA79A8">
        <w:rPr>
          <w:rStyle w:val="Refdenotaderodap"/>
          <w:rFonts w:ascii="Times New Roman" w:hAnsi="Times New Roman"/>
        </w:rPr>
        <w:footnoteRef/>
      </w:r>
      <w:r w:rsidRPr="00DA79A8">
        <w:rPr>
          <w:rFonts w:ascii="Times New Roman" w:hAnsi="Times New Roman"/>
        </w:rPr>
        <w:t xml:space="preserve">Já na altura dos privilégios, o titular do mesmo poderia ser obrigado a conceder a um terceiro a utilização deste. Este instituto parece ser o antecedente da licença compulsória. Cfr. SALAMOLARD, Jean-Marc, </w:t>
      </w:r>
      <w:r w:rsidRPr="00DA79A8">
        <w:rPr>
          <w:rFonts w:ascii="Times New Roman" w:hAnsi="Times New Roman"/>
          <w:i/>
        </w:rPr>
        <w:t xml:space="preserve">La licence obligatoire en matière de brevets d´invention, </w:t>
      </w:r>
      <w:r w:rsidRPr="00DA79A8">
        <w:rPr>
          <w:rFonts w:ascii="Times New Roman" w:hAnsi="Times New Roman"/>
          <w:i/>
          <w:lang w:eastAsia="pt-PT"/>
        </w:rPr>
        <w:t>– Estude de droit compare</w:t>
      </w:r>
      <w:r w:rsidRPr="00DA79A8">
        <w:rPr>
          <w:rFonts w:ascii="Times New Roman" w:hAnsi="Times New Roman"/>
          <w:lang w:eastAsia="pt-PT"/>
        </w:rPr>
        <w:t xml:space="preserve">, Genève, Libraire Doz, 1978, </w:t>
      </w:r>
      <w:r w:rsidRPr="00DA79A8">
        <w:rPr>
          <w:rFonts w:ascii="Times New Roman" w:hAnsi="Times New Roman"/>
        </w:rPr>
        <w:t>p. 25-26.</w:t>
      </w:r>
    </w:p>
  </w:footnote>
  <w:footnote w:id="4">
    <w:p w:rsidR="00374B8E" w:rsidRPr="00DA79A8" w:rsidRDefault="00374B8E" w:rsidP="00374B8E">
      <w:pPr>
        <w:pStyle w:val="Textodenotaderodap"/>
        <w:jc w:val="both"/>
        <w:rPr>
          <w:rFonts w:ascii="Times New Roman" w:hAnsi="Times New Roman"/>
          <w:lang w:val="pt-BR"/>
        </w:rPr>
      </w:pPr>
      <w:r w:rsidRPr="00DA79A8">
        <w:rPr>
          <w:rStyle w:val="Caracteresdenotaderodap"/>
        </w:rPr>
        <w:footnoteRef/>
      </w:r>
      <w:r w:rsidRPr="00DA79A8">
        <w:rPr>
          <w:rFonts w:ascii="Times New Roman" w:hAnsi="Times New Roman"/>
        </w:rPr>
        <w:t xml:space="preserve">Esta disposição foi inspirada na previsão expressa na UK Patent Act de 1883, que consagrava a licença compulsória para o caso de não exploração da patente no Reino Unido. </w:t>
      </w:r>
    </w:p>
  </w:footnote>
  <w:footnote w:id="5">
    <w:p w:rsidR="00374B8E" w:rsidRPr="00DA79A8" w:rsidRDefault="00374B8E" w:rsidP="00374B8E">
      <w:pPr>
        <w:pStyle w:val="Textodenotaderodap"/>
        <w:jc w:val="both"/>
        <w:rPr>
          <w:rFonts w:ascii="Times New Roman" w:hAnsi="Times New Roman"/>
          <w:lang w:val="pt-BR"/>
        </w:rPr>
      </w:pPr>
      <w:r w:rsidRPr="00DA79A8">
        <w:rPr>
          <w:rStyle w:val="Refdenotaderodap"/>
          <w:rFonts w:ascii="Times New Roman" w:hAnsi="Times New Roman"/>
        </w:rPr>
        <w:footnoteRef/>
      </w:r>
      <w:r w:rsidRPr="00DA79A8">
        <w:rPr>
          <w:rFonts w:ascii="Times New Roman" w:hAnsi="Times New Roman"/>
        </w:rPr>
        <w:t xml:space="preserve">Em português a sigla utilizada é ADPIC. </w:t>
      </w:r>
      <w:r w:rsidRPr="00DA79A8">
        <w:rPr>
          <w:rFonts w:ascii="Times New Roman" w:hAnsi="Times New Roman"/>
          <w:i/>
          <w:lang w:val="en-US"/>
        </w:rPr>
        <w:t xml:space="preserve">Trips </w:t>
      </w:r>
      <w:proofErr w:type="spellStart"/>
      <w:r w:rsidRPr="00DA79A8">
        <w:rPr>
          <w:rFonts w:ascii="Times New Roman" w:hAnsi="Times New Roman"/>
          <w:lang w:val="en-US"/>
        </w:rPr>
        <w:t>corresponde</w:t>
      </w:r>
      <w:proofErr w:type="spellEnd"/>
      <w:r w:rsidRPr="00DA79A8">
        <w:rPr>
          <w:rFonts w:ascii="Times New Roman" w:hAnsi="Times New Roman"/>
          <w:lang w:val="en-US"/>
        </w:rPr>
        <w:t xml:space="preserve"> </w:t>
      </w:r>
      <w:proofErr w:type="spellStart"/>
      <w:r w:rsidRPr="00DA79A8">
        <w:rPr>
          <w:rFonts w:ascii="Times New Roman" w:hAnsi="Times New Roman"/>
          <w:lang w:val="en-US"/>
        </w:rPr>
        <w:t>ao</w:t>
      </w:r>
      <w:proofErr w:type="spellEnd"/>
      <w:r w:rsidRPr="00DA79A8">
        <w:rPr>
          <w:rFonts w:ascii="Times New Roman" w:hAnsi="Times New Roman"/>
          <w:lang w:val="en-US"/>
        </w:rPr>
        <w:t xml:space="preserve"> </w:t>
      </w:r>
      <w:proofErr w:type="spellStart"/>
      <w:r w:rsidRPr="00DA79A8">
        <w:rPr>
          <w:rFonts w:ascii="Times New Roman" w:hAnsi="Times New Roman"/>
          <w:lang w:val="en-US"/>
        </w:rPr>
        <w:t>termo</w:t>
      </w:r>
      <w:proofErr w:type="spellEnd"/>
      <w:r w:rsidRPr="00DA79A8">
        <w:rPr>
          <w:rFonts w:ascii="Times New Roman" w:hAnsi="Times New Roman"/>
          <w:lang w:val="en-US"/>
        </w:rPr>
        <w:t xml:space="preserve"> </w:t>
      </w:r>
      <w:proofErr w:type="spellStart"/>
      <w:proofErr w:type="gramStart"/>
      <w:r w:rsidRPr="00DA79A8">
        <w:rPr>
          <w:rFonts w:ascii="Times New Roman" w:hAnsi="Times New Roman"/>
          <w:lang w:val="en-US"/>
        </w:rPr>
        <w:t>inglês</w:t>
      </w:r>
      <w:proofErr w:type="spellEnd"/>
      <w:r w:rsidRPr="00DA79A8">
        <w:rPr>
          <w:rFonts w:ascii="Times New Roman" w:hAnsi="Times New Roman"/>
          <w:lang w:val="en-US"/>
        </w:rPr>
        <w:t xml:space="preserve">  </w:t>
      </w:r>
      <w:r w:rsidRPr="00DA79A8">
        <w:rPr>
          <w:rFonts w:ascii="Times New Roman" w:hAnsi="Times New Roman"/>
          <w:i/>
          <w:lang w:val="en-US"/>
        </w:rPr>
        <w:t>Agreement</w:t>
      </w:r>
      <w:proofErr w:type="gramEnd"/>
      <w:r w:rsidRPr="00DA79A8">
        <w:rPr>
          <w:rFonts w:ascii="Times New Roman" w:hAnsi="Times New Roman"/>
          <w:i/>
          <w:lang w:val="en-US"/>
        </w:rPr>
        <w:t xml:space="preserve"> on Trade-Related Aspects of Intellectual Property Rights</w:t>
      </w:r>
      <w:r w:rsidRPr="00DA79A8">
        <w:rPr>
          <w:rFonts w:ascii="Times New Roman" w:hAnsi="Times New Roman"/>
          <w:lang w:val="en-US"/>
        </w:rPr>
        <w:t xml:space="preserve">. </w:t>
      </w:r>
      <w:r w:rsidRPr="00DA79A8">
        <w:rPr>
          <w:rFonts w:ascii="Times New Roman" w:hAnsi="Times New Roman"/>
        </w:rPr>
        <w:t>Utilizaremos a sigla inglesa por razões uniformização do termo.</w:t>
      </w:r>
    </w:p>
  </w:footnote>
  <w:footnote w:id="6">
    <w:p w:rsidR="00374B8E" w:rsidRPr="00DA79A8" w:rsidRDefault="00374B8E" w:rsidP="00374B8E">
      <w:pPr>
        <w:pStyle w:val="Textodenotaderodap"/>
        <w:jc w:val="both"/>
        <w:rPr>
          <w:rFonts w:ascii="Times New Roman" w:hAnsi="Times New Roman"/>
        </w:rPr>
      </w:pPr>
      <w:r w:rsidRPr="00DA79A8">
        <w:rPr>
          <w:rStyle w:val="Caracteresdenotaderodap"/>
        </w:rPr>
        <w:footnoteRef/>
      </w:r>
      <w:r w:rsidRPr="00DA79A8">
        <w:rPr>
          <w:rFonts w:ascii="Times New Roman" w:hAnsi="Times New Roman"/>
        </w:rPr>
        <w:t xml:space="preserve"> Convencionou-se ainda um nº5 no artigo 5ºA, pela primeira vez, que o regime estabelecido para as patentes poderia ser aplicado, com as necessárias adaptações, aos modelos de utilidade.</w:t>
      </w:r>
    </w:p>
  </w:footnote>
  <w:footnote w:id="7">
    <w:p w:rsidR="00374B8E" w:rsidRPr="00DA79A8" w:rsidRDefault="00374B8E" w:rsidP="00374B8E">
      <w:pPr>
        <w:pStyle w:val="Textodenotaderodap"/>
        <w:jc w:val="both"/>
        <w:rPr>
          <w:rFonts w:ascii="Times New Roman" w:hAnsi="Times New Roman"/>
          <w:lang w:val="en-US"/>
        </w:rPr>
      </w:pPr>
      <w:r w:rsidRPr="00DA79A8">
        <w:rPr>
          <w:rStyle w:val="Refdenotaderodap"/>
          <w:rFonts w:ascii="Times New Roman" w:hAnsi="Times New Roman"/>
        </w:rPr>
        <w:footnoteRef/>
      </w:r>
      <w:r w:rsidRPr="00DA79A8">
        <w:rPr>
          <w:rFonts w:ascii="Times New Roman" w:hAnsi="Times New Roman"/>
        </w:rPr>
        <w:t xml:space="preserve"> Lembramos que, embora fosse um instituto que certos países tinha relutância em usá-lo, o que é certo é que à data do começa das negociações do Acordo </w:t>
      </w:r>
      <w:r w:rsidRPr="00DA79A8">
        <w:rPr>
          <w:rFonts w:ascii="Times New Roman" w:hAnsi="Times New Roman"/>
          <w:i/>
        </w:rPr>
        <w:t>Trips</w:t>
      </w:r>
      <w:r w:rsidRPr="00DA79A8">
        <w:rPr>
          <w:rFonts w:ascii="Times New Roman" w:hAnsi="Times New Roman"/>
        </w:rPr>
        <w:t xml:space="preserve">, esta já tinha sido concedida por 96 países. </w:t>
      </w:r>
      <w:proofErr w:type="spellStart"/>
      <w:r w:rsidRPr="00DA79A8">
        <w:rPr>
          <w:rFonts w:ascii="Times New Roman" w:hAnsi="Times New Roman"/>
          <w:lang w:val="en-US"/>
        </w:rPr>
        <w:t>Cfr</w:t>
      </w:r>
      <w:proofErr w:type="spellEnd"/>
      <w:r w:rsidRPr="00DA79A8">
        <w:rPr>
          <w:rFonts w:ascii="Times New Roman" w:hAnsi="Times New Roman"/>
          <w:lang w:val="en-US"/>
        </w:rPr>
        <w:t xml:space="preserve">. </w:t>
      </w:r>
      <w:r w:rsidRPr="00DA79A8">
        <w:rPr>
          <w:rFonts w:ascii="Times New Roman" w:hAnsi="Times New Roman"/>
          <w:lang w:val="en-GB"/>
        </w:rPr>
        <w:t xml:space="preserve">CORREA, Carlos M., «Patent Rights», </w:t>
      </w:r>
      <w:r w:rsidRPr="00DA79A8">
        <w:rPr>
          <w:rFonts w:ascii="Times New Roman" w:hAnsi="Times New Roman"/>
          <w:i/>
          <w:lang w:val="en-GB"/>
        </w:rPr>
        <w:t>Intellectual property and international trade: the TRIPS agreement</w:t>
      </w:r>
      <w:r w:rsidRPr="00DA79A8">
        <w:rPr>
          <w:rFonts w:ascii="Times New Roman" w:hAnsi="Times New Roman"/>
          <w:lang w:val="en-GB"/>
        </w:rPr>
        <w:t xml:space="preserve">, ed. Carlos M. Correa, </w:t>
      </w:r>
      <w:proofErr w:type="spellStart"/>
      <w:r w:rsidRPr="00DA79A8">
        <w:rPr>
          <w:rFonts w:ascii="Times New Roman" w:hAnsi="Times New Roman"/>
          <w:lang w:val="en-GB"/>
        </w:rPr>
        <w:t>Abdulqawi</w:t>
      </w:r>
      <w:proofErr w:type="spellEnd"/>
      <w:r w:rsidRPr="00DA79A8">
        <w:rPr>
          <w:rFonts w:ascii="Times New Roman" w:hAnsi="Times New Roman"/>
          <w:lang w:val="en-GB"/>
        </w:rPr>
        <w:t xml:space="preserve"> A. Yusuf, 2nd </w:t>
      </w:r>
      <w:proofErr w:type="spellStart"/>
      <w:r w:rsidRPr="00DA79A8">
        <w:rPr>
          <w:rFonts w:ascii="Times New Roman" w:hAnsi="Times New Roman"/>
          <w:lang w:val="en-GB"/>
        </w:rPr>
        <w:t>ed</w:t>
      </w:r>
      <w:proofErr w:type="spellEnd"/>
      <w:r w:rsidRPr="00DA79A8">
        <w:rPr>
          <w:rFonts w:ascii="Times New Roman" w:hAnsi="Times New Roman"/>
          <w:lang w:val="en-GB"/>
        </w:rPr>
        <w:t xml:space="preserve">, Alphen </w:t>
      </w:r>
      <w:proofErr w:type="spellStart"/>
      <w:r w:rsidRPr="00DA79A8">
        <w:rPr>
          <w:rFonts w:ascii="Times New Roman" w:hAnsi="Times New Roman"/>
          <w:lang w:val="en-GB"/>
        </w:rPr>
        <w:t>aan</w:t>
      </w:r>
      <w:proofErr w:type="spellEnd"/>
      <w:r w:rsidRPr="00DA79A8">
        <w:rPr>
          <w:rFonts w:ascii="Times New Roman" w:hAnsi="Times New Roman"/>
          <w:lang w:val="en-GB"/>
        </w:rPr>
        <w:t xml:space="preserve"> den Rijn, Kluwer law International, 2008, p. 227 e ss., p </w:t>
      </w:r>
      <w:proofErr w:type="gramStart"/>
      <w:r w:rsidRPr="00DA79A8">
        <w:rPr>
          <w:rFonts w:ascii="Times New Roman" w:hAnsi="Times New Roman"/>
          <w:lang w:val="en-GB"/>
        </w:rPr>
        <w:t>245 .</w:t>
      </w:r>
      <w:proofErr w:type="gramEnd"/>
    </w:p>
  </w:footnote>
  <w:footnote w:id="8">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lang w:val="en-US"/>
        </w:rPr>
        <w:t xml:space="preserve"> No </w:t>
      </w:r>
      <w:proofErr w:type="spellStart"/>
      <w:r w:rsidRPr="00DA79A8">
        <w:rPr>
          <w:rFonts w:ascii="Times New Roman" w:hAnsi="Times New Roman"/>
          <w:lang w:val="en-US"/>
        </w:rPr>
        <w:t>mesmo</w:t>
      </w:r>
      <w:proofErr w:type="spellEnd"/>
      <w:r w:rsidRPr="00DA79A8">
        <w:rPr>
          <w:rFonts w:ascii="Times New Roman" w:hAnsi="Times New Roman"/>
          <w:lang w:val="en-US"/>
        </w:rPr>
        <w:t xml:space="preserve"> </w:t>
      </w:r>
      <w:proofErr w:type="spellStart"/>
      <w:r w:rsidRPr="00DA79A8">
        <w:rPr>
          <w:rFonts w:ascii="Times New Roman" w:hAnsi="Times New Roman"/>
          <w:lang w:val="en-US"/>
        </w:rPr>
        <w:t>sentido</w:t>
      </w:r>
      <w:proofErr w:type="spellEnd"/>
      <w:r w:rsidRPr="00DA79A8">
        <w:rPr>
          <w:rFonts w:ascii="Times New Roman" w:hAnsi="Times New Roman"/>
          <w:lang w:val="en-US"/>
        </w:rPr>
        <w:t xml:space="preserve">, ADOLF, </w:t>
      </w:r>
      <w:proofErr w:type="spellStart"/>
      <w:r w:rsidRPr="00DA79A8">
        <w:rPr>
          <w:rFonts w:ascii="Times New Roman" w:hAnsi="Times New Roman"/>
          <w:lang w:val="en-US"/>
        </w:rPr>
        <w:t>Huala</w:t>
      </w:r>
      <w:proofErr w:type="spellEnd"/>
      <w:r w:rsidRPr="00DA79A8">
        <w:rPr>
          <w:rFonts w:ascii="Times New Roman" w:hAnsi="Times New Roman"/>
          <w:lang w:val="en-US"/>
        </w:rPr>
        <w:t>, Trade-Related Aspects of Intellectual Property Rights and Developing Countries</w:t>
      </w:r>
      <w:r w:rsidRPr="00DA79A8">
        <w:rPr>
          <w:rFonts w:ascii="Times New Roman" w:hAnsi="Times New Roman"/>
          <w:i/>
          <w:color w:val="000000"/>
          <w:lang w:val="en-US" w:eastAsia="pt-PT"/>
        </w:rPr>
        <w:t xml:space="preserve"> The Developing Economies</w:t>
      </w:r>
      <w:r w:rsidRPr="00DA79A8">
        <w:rPr>
          <w:rFonts w:ascii="Times New Roman" w:hAnsi="Times New Roman"/>
          <w:color w:val="000000"/>
          <w:lang w:val="en-US" w:eastAsia="pt-PT"/>
        </w:rPr>
        <w:t xml:space="preserve">, XXXXIX, 1, 2001, p.  </w:t>
      </w:r>
      <w:r w:rsidRPr="00DA79A8">
        <w:rPr>
          <w:rFonts w:ascii="Times New Roman" w:hAnsi="Times New Roman"/>
          <w:color w:val="000000"/>
          <w:lang w:eastAsia="pt-PT"/>
        </w:rPr>
        <w:t xml:space="preserve">49 e ss. </w:t>
      </w:r>
      <w:r w:rsidRPr="00DA79A8">
        <w:rPr>
          <w:rFonts w:ascii="Times New Roman" w:hAnsi="Times New Roman"/>
        </w:rPr>
        <w:t>p. 67.</w:t>
      </w:r>
    </w:p>
  </w:footnote>
  <w:footnote w:id="9">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 Esta é uma discussão que já vai longa na doutrina. A discussão centra-se no seguinte: será o Acordo </w:t>
      </w:r>
      <w:r w:rsidRPr="00DA79A8">
        <w:rPr>
          <w:rFonts w:ascii="Times New Roman" w:hAnsi="Times New Roman"/>
          <w:i/>
        </w:rPr>
        <w:t>Trips self-executing</w:t>
      </w:r>
      <w:r w:rsidRPr="00DA79A8">
        <w:rPr>
          <w:rFonts w:ascii="Times New Roman" w:hAnsi="Times New Roman"/>
        </w:rPr>
        <w:t>? Se afirmarmos que sim, na prática, o Estado português não terá que emitir nenhum acto legislativo, e as disposições do Acordo poderão ser invocadas</w:t>
      </w:r>
      <w:r w:rsidRPr="00DA79A8">
        <w:rPr>
          <w:rFonts w:ascii="Times New Roman" w:hAnsi="Times New Roman"/>
          <w:i/>
        </w:rPr>
        <w:t>directamente</w:t>
      </w:r>
      <w:r w:rsidRPr="00DA79A8">
        <w:rPr>
          <w:rFonts w:ascii="Times New Roman" w:hAnsi="Times New Roman"/>
        </w:rPr>
        <w:t xml:space="preserve"> pelos particulares. Contudo, se atentarmos ao art. 1º, nº 1 (e ainda pelo art. XVI, nº 4 do Acordo da OMC), desde logo chegamos à conclusão que, em bloco, o Acordo </w:t>
      </w:r>
      <w:r w:rsidRPr="00DA79A8">
        <w:rPr>
          <w:rFonts w:ascii="Times New Roman" w:hAnsi="Times New Roman"/>
          <w:i/>
        </w:rPr>
        <w:t xml:space="preserve">Trips </w:t>
      </w:r>
      <w:r w:rsidRPr="00DA79A8">
        <w:rPr>
          <w:rFonts w:ascii="Times New Roman" w:hAnsi="Times New Roman"/>
        </w:rPr>
        <w:t xml:space="preserve">não pode ser considerado </w:t>
      </w:r>
      <w:r w:rsidRPr="00DA79A8">
        <w:rPr>
          <w:rFonts w:ascii="Times New Roman" w:hAnsi="Times New Roman"/>
          <w:i/>
        </w:rPr>
        <w:t>self executing</w:t>
      </w:r>
      <w:r w:rsidRPr="00DA79A8">
        <w:rPr>
          <w:rFonts w:ascii="Times New Roman" w:hAnsi="Times New Roman"/>
        </w:rPr>
        <w:t xml:space="preserve"> (cfr. no mesmo sentido, entre outros, ASCENSÃO, José Oliveira, «Relatório Final de Actividade da Comissão de Acompanhamento do Código da Propriedade Industrial», </w:t>
      </w:r>
      <w:r w:rsidRPr="00DA79A8">
        <w:rPr>
          <w:rFonts w:ascii="Times New Roman" w:hAnsi="Times New Roman"/>
          <w:i/>
          <w:color w:val="000000"/>
          <w:lang w:eastAsia="pt-PT"/>
        </w:rPr>
        <w:t>Revista da Faculdade de Direito da Universidade de Lisboa</w:t>
      </w:r>
      <w:r w:rsidRPr="00DA79A8">
        <w:rPr>
          <w:rFonts w:ascii="Times New Roman" w:hAnsi="Times New Roman"/>
          <w:color w:val="000000"/>
          <w:lang w:eastAsia="pt-PT"/>
        </w:rPr>
        <w:t xml:space="preserve">, vol. XXXVIII, nº 1, 1997, p. 339 e ss., pág. 341; </w:t>
      </w:r>
      <w:r w:rsidRPr="00DA79A8">
        <w:rPr>
          <w:rFonts w:ascii="Times New Roman" w:hAnsi="Times New Roman"/>
        </w:rPr>
        <w:t xml:space="preserve">QUADROS, Fausto de, «O carácter </w:t>
      </w:r>
      <w:r w:rsidRPr="00DA79A8">
        <w:rPr>
          <w:rFonts w:ascii="Times New Roman" w:hAnsi="Times New Roman"/>
          <w:i/>
        </w:rPr>
        <w:t>Self-Executing</w:t>
      </w:r>
      <w:r w:rsidRPr="00DA79A8">
        <w:rPr>
          <w:rFonts w:ascii="Times New Roman" w:hAnsi="Times New Roman"/>
        </w:rPr>
        <w:t xml:space="preserve"> de disposições de Tratados Internacionais. O caso concreto do Acordo Trips», </w:t>
      </w:r>
      <w:r w:rsidRPr="00DA79A8">
        <w:rPr>
          <w:rFonts w:ascii="Times New Roman" w:hAnsi="Times New Roman"/>
          <w:i/>
        </w:rPr>
        <w:t xml:space="preserve">ROA, </w:t>
      </w:r>
      <w:r w:rsidRPr="00DA79A8">
        <w:rPr>
          <w:rFonts w:ascii="Times New Roman" w:hAnsi="Times New Roman"/>
        </w:rPr>
        <w:t>ANO 61, nº 3, Dezembro de 2001, p. 1269 a 1312, p. 1287 e ss.;</w:t>
      </w:r>
      <w:r w:rsidRPr="00DA79A8">
        <w:rPr>
          <w:rFonts w:ascii="Times New Roman" w:hAnsi="Times New Roman"/>
          <w:lang w:eastAsia="pt-PT"/>
        </w:rPr>
        <w:t xml:space="preserve">GERVAIS, Daniel, </w:t>
      </w:r>
      <w:r w:rsidRPr="00DA79A8">
        <w:rPr>
          <w:rFonts w:ascii="Times New Roman" w:hAnsi="Times New Roman"/>
          <w:i/>
          <w:lang w:eastAsia="pt-PT"/>
        </w:rPr>
        <w:t>The TRIPS Agreement: Drafting History and Analysis</w:t>
      </w:r>
      <w:r w:rsidRPr="00DA79A8">
        <w:rPr>
          <w:rFonts w:ascii="Times New Roman" w:hAnsi="Times New Roman"/>
          <w:lang w:eastAsia="pt-PT"/>
        </w:rPr>
        <w:t>, ob. cit., pág. 87, nota 19;</w:t>
      </w:r>
      <w:r w:rsidRPr="00DA79A8">
        <w:rPr>
          <w:rFonts w:ascii="Times New Roman" w:hAnsi="Times New Roman"/>
        </w:rPr>
        <w:t xml:space="preserve"> MARQUES, J.P. Remédio, </w:t>
      </w:r>
      <w:r w:rsidRPr="00DA79A8">
        <w:rPr>
          <w:rFonts w:ascii="Times New Roman" w:hAnsi="Times New Roman"/>
          <w:color w:val="000000"/>
          <w:lang w:eastAsia="pt-PT"/>
        </w:rPr>
        <w:t>/ SERENS, Nogueira,</w:t>
      </w:r>
      <w:r w:rsidRPr="00DA79A8">
        <w:rPr>
          <w:rFonts w:ascii="Times New Roman" w:hAnsi="Times New Roman"/>
        </w:rPr>
        <w:t xml:space="preserve"> «Direito de Patente: sucessão de leis no tempo e a proibição de outorga de patentes nacionais sobre produtos químicos ou farmacêuticos no domínio do CPI de 1940 - o aditamento de reivindicações de produto químico ou farmacêutico no quadro do CPI de 1995, nos procedimentos de protecção de pendentes na data de adesão à Convenção da Patente Europeia e ao Acordo </w:t>
      </w:r>
      <w:r w:rsidRPr="00DA79A8">
        <w:rPr>
          <w:rFonts w:ascii="Times New Roman" w:hAnsi="Times New Roman"/>
          <w:i/>
        </w:rPr>
        <w:t>Trips</w:t>
      </w:r>
      <w:r w:rsidRPr="00DA79A8">
        <w:rPr>
          <w:rFonts w:ascii="Times New Roman" w:hAnsi="Times New Roman"/>
        </w:rPr>
        <w:t xml:space="preserve">», </w:t>
      </w:r>
      <w:r w:rsidRPr="00DA79A8">
        <w:rPr>
          <w:rFonts w:ascii="Times New Roman" w:hAnsi="Times New Roman"/>
          <w:i/>
        </w:rPr>
        <w:t>O Direito</w:t>
      </w:r>
      <w:r w:rsidRPr="00DA79A8">
        <w:rPr>
          <w:rFonts w:ascii="Times New Roman" w:hAnsi="Times New Roman"/>
        </w:rPr>
        <w:t xml:space="preserve">, 138º, V, Coimbra, Almedina, 2006, p. 1011 e ss., p. 1060; MARQUES, J.P. Remédio, </w:t>
      </w:r>
      <w:r w:rsidRPr="00DA79A8">
        <w:rPr>
          <w:rFonts w:ascii="Times New Roman" w:hAnsi="Times New Roman"/>
          <w:i/>
        </w:rPr>
        <w:t>Medicamentos vs Patentes: estudos de propriedade industrial</w:t>
      </w:r>
      <w:r w:rsidRPr="00DA79A8">
        <w:rPr>
          <w:rFonts w:ascii="Times New Roman" w:hAnsi="Times New Roman"/>
        </w:rPr>
        <w:t xml:space="preserve">, Coimbra, Coimbra Editora, 2008, p. 348). Apesar da opinião maioritária ir no sentido que o Acordo </w:t>
      </w:r>
      <w:r w:rsidRPr="00DA79A8">
        <w:rPr>
          <w:rFonts w:ascii="Times New Roman" w:hAnsi="Times New Roman"/>
          <w:i/>
        </w:rPr>
        <w:t>Trips</w:t>
      </w:r>
      <w:r w:rsidRPr="00DA79A8">
        <w:rPr>
          <w:rFonts w:ascii="Times New Roman" w:hAnsi="Times New Roman"/>
        </w:rPr>
        <w:t xml:space="preserve"> não tem efeito directo, alguns autores, mesmo dentro do mencionados, discutem ainda se algumas das regras do Acordo, por serem bastante precisas, claras, determinadas, podem ser de aplicação directa e imediata na ordem jurídica dos Estados Membros do Acordo. A discussão baseia-se fundamentalmente no art. 33º referente à duração das patentes (cfr., entre outros, </w:t>
      </w:r>
      <w:r w:rsidRPr="00DA79A8">
        <w:rPr>
          <w:rFonts w:ascii="Times New Roman" w:hAnsi="Times New Roman"/>
          <w:lang w:eastAsia="pt-PT"/>
        </w:rPr>
        <w:t xml:space="preserve">CARVALHO, Nuno Pires de, </w:t>
      </w:r>
      <w:r w:rsidRPr="00DA79A8">
        <w:rPr>
          <w:rFonts w:ascii="Times New Roman" w:hAnsi="Times New Roman"/>
          <w:i/>
          <w:iCs/>
          <w:lang w:eastAsia="pt-PT"/>
        </w:rPr>
        <w:t>The trips regime of patent rights</w:t>
      </w:r>
      <w:r w:rsidRPr="00DA79A8">
        <w:rPr>
          <w:rFonts w:ascii="Times New Roman" w:hAnsi="Times New Roman"/>
          <w:iCs/>
          <w:lang w:eastAsia="pt-PT"/>
        </w:rPr>
        <w:t>, 2008, p. 53 e 54;</w:t>
      </w:r>
      <w:r w:rsidRPr="00DA79A8">
        <w:rPr>
          <w:rFonts w:ascii="Times New Roman" w:hAnsi="Times New Roman"/>
        </w:rPr>
        <w:t xml:space="preserve"> VICENTE, Dário Moura, </w:t>
      </w:r>
      <w:r w:rsidRPr="00DA79A8">
        <w:rPr>
          <w:rFonts w:ascii="Times New Roman" w:hAnsi="Times New Roman"/>
          <w:i/>
          <w:lang w:eastAsia="pt-PT"/>
        </w:rPr>
        <w:t>A Tutela Internacional da Propriedade Intelectual</w:t>
      </w:r>
      <w:r>
        <w:rPr>
          <w:rFonts w:ascii="Times New Roman" w:hAnsi="Times New Roman"/>
          <w:lang w:eastAsia="pt-PT"/>
        </w:rPr>
        <w:t>, Coimbra, Almedina, 2009, p. 151-</w:t>
      </w:r>
      <w:r w:rsidRPr="00DA79A8">
        <w:rPr>
          <w:rFonts w:ascii="Times New Roman" w:hAnsi="Times New Roman"/>
          <w:lang w:eastAsia="pt-PT"/>
        </w:rPr>
        <w:t xml:space="preserve">152;MIRANDA, Jorge / GOUVEIA, Jorge Bacelar, «A duração da patente no Acordo Trips e no novo Código da Propriedade Industrial à luz da Constituição portuguesa», </w:t>
      </w:r>
      <w:r w:rsidRPr="00DA79A8">
        <w:rPr>
          <w:rFonts w:ascii="Times New Roman" w:hAnsi="Times New Roman"/>
          <w:i/>
          <w:lang w:eastAsia="pt-PT"/>
        </w:rPr>
        <w:t>ROA</w:t>
      </w:r>
      <w:r w:rsidRPr="00DA79A8">
        <w:rPr>
          <w:rFonts w:ascii="Times New Roman" w:hAnsi="Times New Roman"/>
          <w:lang w:eastAsia="pt-PT"/>
        </w:rPr>
        <w:t xml:space="preserve">, Ano 57, vol. I, Janeiro de 1997, p. 249 e ss., p. 263 e ss.), mas também se discute se alguns preceitos do art. 31º do Acordo </w:t>
      </w:r>
      <w:r w:rsidRPr="00DA79A8">
        <w:rPr>
          <w:rFonts w:ascii="Times New Roman" w:hAnsi="Times New Roman"/>
          <w:i/>
          <w:lang w:eastAsia="pt-PT"/>
        </w:rPr>
        <w:t>Trips</w:t>
      </w:r>
      <w:r w:rsidRPr="00DA79A8">
        <w:rPr>
          <w:rFonts w:ascii="Times New Roman" w:hAnsi="Times New Roman"/>
          <w:lang w:eastAsia="pt-PT"/>
        </w:rPr>
        <w:t>, referente às licenças compulsórias</w:t>
      </w:r>
      <w:r w:rsidRPr="00462C4A">
        <w:rPr>
          <w:rFonts w:ascii="Times New Roman" w:hAnsi="Times New Roman"/>
          <w:lang w:eastAsia="pt-PT"/>
        </w:rPr>
        <w:t>, (Cf..</w:t>
      </w:r>
      <w:r w:rsidRPr="00DA79A8">
        <w:rPr>
          <w:rFonts w:ascii="Times New Roman" w:hAnsi="Times New Roman"/>
          <w:lang w:eastAsia="pt-PT"/>
        </w:rPr>
        <w:t xml:space="preserve"> MARQUES, J.P. Remédio, </w:t>
      </w:r>
      <w:r w:rsidRPr="00DA79A8">
        <w:rPr>
          <w:rFonts w:ascii="Times New Roman" w:hAnsi="Times New Roman"/>
          <w:i/>
        </w:rPr>
        <w:t>Licenças (Voluntárias e Obrigatórias) de Direitos de Propriedade Industrial</w:t>
      </w:r>
      <w:r w:rsidRPr="00DA79A8">
        <w:rPr>
          <w:rFonts w:ascii="Times New Roman" w:hAnsi="Times New Roman"/>
        </w:rPr>
        <w:t>, 2007, p. 242).</w:t>
      </w:r>
    </w:p>
  </w:footnote>
  <w:footnote w:id="10">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 O art.5ºA, nº4 da CUP, que estabelece o seguinte:</w:t>
      </w:r>
    </w:p>
    <w:p w:rsidR="00374B8E" w:rsidRPr="00DA79A8" w:rsidRDefault="00374B8E" w:rsidP="00374B8E">
      <w:pPr>
        <w:pStyle w:val="Textodenotaderodap"/>
        <w:jc w:val="both"/>
        <w:rPr>
          <w:rFonts w:ascii="Times New Roman" w:hAnsi="Times New Roman"/>
        </w:rPr>
      </w:pPr>
      <w:r w:rsidRPr="00DA79A8">
        <w:rPr>
          <w:rFonts w:ascii="Times New Roman" w:hAnsi="Times New Roman"/>
          <w:iCs/>
        </w:rPr>
        <w:t>“Não poderá ser pedida concessão de licença obrigatória, com o fundamento de falta ou insuficiência de exploração, antes de expirar o prazo de quatro anos a contar da apresentação do pedido de patente, ou de três anos a contar da concessão da patente, devendo aplicar-se o prazo mais longo; a licença será recusada se o titular da patente justificar a sua inacção por razões legítimas [...].”</w:t>
      </w:r>
    </w:p>
  </w:footnote>
  <w:footnote w:id="11">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Apesar de o Acordo </w:t>
      </w:r>
      <w:r w:rsidRPr="00DA79A8">
        <w:rPr>
          <w:rFonts w:ascii="Times New Roman" w:hAnsi="Times New Roman"/>
          <w:i/>
        </w:rPr>
        <w:t>Trips</w:t>
      </w:r>
      <w:r w:rsidRPr="00DA79A8">
        <w:rPr>
          <w:rFonts w:ascii="Times New Roman" w:hAnsi="Times New Roman"/>
        </w:rPr>
        <w:t xml:space="preserve"> não o referir expressamente, há autores que referem que este fundamento pode ser retirado do art. 27º, nº 1 desse mesmo Acordo (cfr. CORREA, Carlos, </w:t>
      </w:r>
      <w:r w:rsidRPr="00DA79A8">
        <w:rPr>
          <w:rFonts w:ascii="Times New Roman" w:hAnsi="Times New Roman"/>
          <w:i/>
        </w:rPr>
        <w:t>Intellectual property rigths, the WTO and developing countries</w:t>
      </w:r>
      <w:r w:rsidRPr="00DA79A8">
        <w:rPr>
          <w:rFonts w:ascii="Times New Roman" w:hAnsi="Times New Roman"/>
        </w:rPr>
        <w:t xml:space="preserve">, 2000, p. 90). Na verdade, esta discussão tem pouco interesse prático, pois, a CUP foi incorparada por este mesmo Acordo de acordo com o art. 2º, nº 1. </w:t>
      </w:r>
    </w:p>
  </w:footnote>
  <w:footnote w:id="12">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 No mesmo sentido, cfr. SCHMIDT-SZALEWSKI, Joanna/ PIERRE, Jean-Luc, </w:t>
      </w:r>
      <w:r w:rsidRPr="00DA79A8">
        <w:rPr>
          <w:rFonts w:ascii="Times New Roman" w:hAnsi="Times New Roman"/>
          <w:i/>
        </w:rPr>
        <w:t>Droit de La propriété industrielle</w:t>
      </w:r>
      <w:r w:rsidRPr="00DA79A8">
        <w:rPr>
          <w:rFonts w:ascii="Times New Roman" w:hAnsi="Times New Roman"/>
        </w:rPr>
        <w:t xml:space="preserve">, </w:t>
      </w:r>
      <w:r w:rsidRPr="00DA79A8">
        <w:rPr>
          <w:rFonts w:ascii="Times New Roman" w:hAnsi="Times New Roman"/>
          <w:lang w:eastAsia="pt-PT"/>
        </w:rPr>
        <w:t xml:space="preserve">3. ed. Paris, Litec, 2003, </w:t>
      </w:r>
      <w:r w:rsidRPr="00DA79A8">
        <w:rPr>
          <w:rFonts w:ascii="Times New Roman" w:hAnsi="Times New Roman"/>
        </w:rPr>
        <w:t>p. 118.</w:t>
      </w:r>
    </w:p>
  </w:footnote>
  <w:footnote w:id="13">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 Neste sentido, ao ver este fundamento de licença compulsória como sanção cfr. Ascensão, José Oliveira, </w:t>
      </w:r>
      <w:r w:rsidRPr="00DA79A8">
        <w:rPr>
          <w:rFonts w:ascii="Times New Roman" w:hAnsi="Times New Roman"/>
          <w:color w:val="000000"/>
          <w:lang w:eastAsia="pt-PT"/>
        </w:rPr>
        <w:t xml:space="preserve">«O Projecto de Código da Propriedade Industrial: Patentes, Modelos de Utilidade e Modelos e Desenhos Industriais», </w:t>
      </w:r>
      <w:r w:rsidRPr="00DA79A8">
        <w:rPr>
          <w:rFonts w:ascii="Times New Roman" w:hAnsi="Times New Roman"/>
          <w:i/>
          <w:color w:val="000000"/>
          <w:lang w:eastAsia="pt-PT"/>
        </w:rPr>
        <w:t>Revista da Faculdade de Direito da Universidade de Lisboa</w:t>
      </w:r>
      <w:r w:rsidRPr="00DA79A8">
        <w:rPr>
          <w:rFonts w:ascii="Times New Roman" w:hAnsi="Times New Roman"/>
          <w:color w:val="000000"/>
          <w:lang w:eastAsia="pt-PT"/>
        </w:rPr>
        <w:t xml:space="preserve"> , vol. XXXVIII, nº 1, 1997, p. 133 e ss., p. 160;</w:t>
      </w:r>
    </w:p>
  </w:footnote>
  <w:footnote w:id="14">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 A título de exemplo, para o legislador português estes </w:t>
      </w:r>
      <w:r w:rsidRPr="00DA79A8">
        <w:rPr>
          <w:rFonts w:ascii="Times New Roman" w:hAnsi="Times New Roman"/>
          <w:i/>
        </w:rPr>
        <w:t>justos motivos</w:t>
      </w:r>
      <w:r w:rsidRPr="00DA79A8">
        <w:rPr>
          <w:rFonts w:ascii="Times New Roman" w:hAnsi="Times New Roman"/>
        </w:rPr>
        <w:t xml:space="preserve"> são </w:t>
      </w:r>
      <w:r w:rsidRPr="00DA79A8">
        <w:rPr>
          <w:rFonts w:ascii="Times New Roman" w:hAnsi="Times New Roman"/>
          <w:iCs/>
        </w:rPr>
        <w:t>“«...» as dificuldades objetivos de natureza técnica ou jurídica, independentes da vontade e da situação do titular da patente, que tornem impossível ou insuficiente a exploração da invenção, mas não as dificuldades econômicas ou financeiras”</w:t>
      </w:r>
      <w:r w:rsidRPr="00DA79A8">
        <w:rPr>
          <w:rFonts w:ascii="Times New Roman" w:hAnsi="Times New Roman"/>
        </w:rPr>
        <w:t>.</w:t>
      </w:r>
    </w:p>
  </w:footnote>
  <w:footnote w:id="15">
    <w:p w:rsidR="00374B8E" w:rsidRPr="00DA79A8" w:rsidRDefault="00374B8E" w:rsidP="00374B8E">
      <w:pPr>
        <w:pStyle w:val="Textodenotaderodap"/>
        <w:jc w:val="both"/>
        <w:rPr>
          <w:rFonts w:ascii="Times New Roman" w:hAnsi="Times New Roman"/>
          <w:lang w:val="pt-BR"/>
        </w:rPr>
      </w:pPr>
      <w:r w:rsidRPr="00DA79A8">
        <w:rPr>
          <w:rStyle w:val="Refdenotaderodap"/>
          <w:rFonts w:ascii="Times New Roman" w:hAnsi="Times New Roman"/>
        </w:rPr>
        <w:footnoteRef/>
      </w:r>
      <w:r w:rsidRPr="00DA79A8">
        <w:rPr>
          <w:rFonts w:ascii="Times New Roman" w:hAnsi="Times New Roman"/>
        </w:rPr>
        <w:t xml:space="preserve"> Para uma crítica a estes princípios, devido à sua imprecisão legal, cfr. ADOLF, Huala, Trade-Related Aspects of Intellectual Property Rights and Developing Countries, 2008, p. 61. </w:t>
      </w:r>
    </w:p>
  </w:footnote>
  <w:footnote w:id="16">
    <w:p w:rsidR="00374B8E" w:rsidRPr="00DA79A8" w:rsidRDefault="00374B8E" w:rsidP="00374B8E">
      <w:pPr>
        <w:pStyle w:val="Textodenotaderodap"/>
        <w:jc w:val="both"/>
        <w:rPr>
          <w:rFonts w:ascii="Times New Roman" w:hAnsi="Times New Roman"/>
        </w:rPr>
      </w:pPr>
      <w:r w:rsidRPr="00DA79A8">
        <w:rPr>
          <w:rStyle w:val="Caracteresdenotaderodap"/>
        </w:rPr>
        <w:footnoteRef/>
      </w:r>
      <w:r w:rsidRPr="00DA79A8">
        <w:rPr>
          <w:rFonts w:ascii="Times New Roman" w:hAnsi="Times New Roman"/>
        </w:rPr>
        <w:t xml:space="preserve"> Esta modalidade de licença compulsória encontra-se ainda prevista no artigo 29º do Regulamento (CEE) nº 2100/ 95, do Conselho, de 27 de Julho, relativo ao </w:t>
      </w:r>
      <w:r w:rsidRPr="00DA79A8">
        <w:rPr>
          <w:rFonts w:ascii="Times New Roman" w:hAnsi="Times New Roman"/>
          <w:i/>
          <w:iCs/>
        </w:rPr>
        <w:t>regime comunitário de protecção das obtenções vegetais</w:t>
      </w:r>
      <w:r w:rsidRPr="00DA79A8">
        <w:rPr>
          <w:rFonts w:ascii="Times New Roman" w:hAnsi="Times New Roman"/>
        </w:rPr>
        <w:t>.</w:t>
      </w:r>
    </w:p>
  </w:footnote>
  <w:footnote w:id="17">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 No mesmo sentido MARQUES, J. P. Remédio, </w:t>
      </w:r>
      <w:r w:rsidRPr="00DA79A8">
        <w:rPr>
          <w:rFonts w:ascii="Times New Roman" w:hAnsi="Times New Roman"/>
          <w:i/>
        </w:rPr>
        <w:t>Biotecnologias e Propriedade Intelectual</w:t>
      </w:r>
      <w:r w:rsidRPr="00DA79A8">
        <w:rPr>
          <w:rFonts w:ascii="Times New Roman" w:hAnsi="Times New Roman"/>
        </w:rPr>
        <w:t xml:space="preserve">, vol. II, </w:t>
      </w:r>
      <w:r w:rsidRPr="00DA79A8">
        <w:rPr>
          <w:rFonts w:ascii="Times New Roman" w:hAnsi="Times New Roman"/>
          <w:lang w:eastAsia="pt-PT"/>
        </w:rPr>
        <w:t>Coimbra, Almedina, 2007</w:t>
      </w:r>
      <w:r w:rsidRPr="00DA79A8">
        <w:rPr>
          <w:rFonts w:ascii="Times New Roman" w:hAnsi="Times New Roman"/>
        </w:rPr>
        <w:t>, p. 133.</w:t>
      </w:r>
    </w:p>
  </w:footnote>
  <w:footnote w:id="18">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Concordamos ainda com CORREA, Carlos, (2000, p. 247), que refere que o fundamento das licenças compulsórias como remédio para as práticas anticompetitivas está no art. 8º, nº 2 do Acordo </w:t>
      </w:r>
      <w:r w:rsidRPr="00DA79A8">
        <w:rPr>
          <w:rFonts w:ascii="Times New Roman" w:hAnsi="Times New Roman"/>
          <w:i/>
        </w:rPr>
        <w:t>Trips</w:t>
      </w:r>
      <w:r w:rsidRPr="00DA79A8">
        <w:rPr>
          <w:rFonts w:ascii="Times New Roman" w:hAnsi="Times New Roman"/>
        </w:rPr>
        <w:t>, embora seja bastante genérico.</w:t>
      </w:r>
    </w:p>
  </w:footnote>
  <w:footnote w:id="19">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i/>
        </w:rPr>
        <w:t xml:space="preserve">Vide </w:t>
      </w:r>
      <w:r w:rsidRPr="00DA79A8">
        <w:rPr>
          <w:rFonts w:ascii="Times New Roman" w:hAnsi="Times New Roman"/>
        </w:rPr>
        <w:t xml:space="preserve">MONTEIRO, Luís Pinto, </w:t>
      </w:r>
      <w:r w:rsidRPr="00DA79A8">
        <w:rPr>
          <w:rFonts w:ascii="Times New Roman" w:hAnsi="Times New Roman"/>
          <w:i/>
        </w:rPr>
        <w:t>A recusa em licenciar direitos de propriedade intelectual no direito da concorrência</w:t>
      </w:r>
      <w:r w:rsidRPr="00DA79A8">
        <w:rPr>
          <w:rFonts w:ascii="Times New Roman" w:hAnsi="Times New Roman"/>
        </w:rPr>
        <w:t>, Coimbra, Almedina, 2010, p.40 e ss. Este autor começa por colocar a hipótese de existência de um conflito permanente entre o direito da propriedade intelectual e o direito da concorrência, pois o primeiro teria como objetivo maximizar a eficiência econômica, retirando “os entraves do mercado” e o último tendo como objetivo primordial o máximo de lucro possível com a atribuição do monopólio exclusivo. O mesmo autor conclui que os dois ramos de direito se podem complementar, pois, sendo que o direito de propriedade intelectual promove o crescimento e consequêntemente o bem estar social, através da “eficiência dinâmica” da descoberta e seu comércio, o direito da concorrência, nas suas atuações, tem obrigatoriamente de levar em conta estes aspectos.</w:t>
      </w:r>
    </w:p>
  </w:footnote>
  <w:footnote w:id="20">
    <w:p w:rsidR="00374B8E" w:rsidRPr="00462C4A" w:rsidRDefault="00374B8E" w:rsidP="00374B8E">
      <w:pPr>
        <w:pStyle w:val="Textodenotaderodap"/>
        <w:jc w:val="both"/>
        <w:rPr>
          <w:rFonts w:ascii="Times New Roman" w:hAnsi="Times New Roman"/>
          <w:lang w:val="pt-BR"/>
        </w:rPr>
      </w:pPr>
      <w:r w:rsidRPr="00DA79A8">
        <w:rPr>
          <w:rStyle w:val="Refdenotaderodap"/>
          <w:rFonts w:ascii="Times New Roman" w:hAnsi="Times New Roman"/>
        </w:rPr>
        <w:footnoteRef/>
      </w:r>
      <w:r w:rsidRPr="00DA79A8">
        <w:rPr>
          <w:rFonts w:ascii="Times New Roman" w:hAnsi="Times New Roman"/>
        </w:rPr>
        <w:t xml:space="preserve"> Temos ainda de referir que a decisão de concessão e </w:t>
      </w:r>
      <w:r w:rsidRPr="00462C4A">
        <w:rPr>
          <w:rFonts w:ascii="Times New Roman" w:hAnsi="Times New Roman"/>
        </w:rPr>
        <w:t xml:space="preserve">a própria remuneração convencionada, poderá ser objecto de recurso judicial ou por outra entidade independente (Cf. art. 31º, i) e j), </w:t>
      </w:r>
      <w:r w:rsidRPr="00462C4A">
        <w:rPr>
          <w:rFonts w:ascii="Times New Roman" w:hAnsi="Times New Roman"/>
          <w:i/>
        </w:rPr>
        <w:t>Idem</w:t>
      </w:r>
      <w:r w:rsidRPr="00462C4A">
        <w:rPr>
          <w:rFonts w:ascii="Times New Roman" w:hAnsi="Times New Roman"/>
        </w:rPr>
        <w:t>).</w:t>
      </w:r>
    </w:p>
  </w:footnote>
  <w:footnote w:id="21">
    <w:p w:rsidR="00374B8E" w:rsidRPr="00DA79A8" w:rsidRDefault="00374B8E" w:rsidP="00374B8E">
      <w:pPr>
        <w:pStyle w:val="Textodenotaderodap"/>
        <w:jc w:val="both"/>
        <w:rPr>
          <w:rFonts w:ascii="Times New Roman" w:hAnsi="Times New Roman"/>
        </w:rPr>
      </w:pPr>
      <w:r w:rsidRPr="00462C4A">
        <w:rPr>
          <w:rStyle w:val="Refdenotaderodap"/>
          <w:rFonts w:ascii="Times New Roman" w:hAnsi="Times New Roman"/>
        </w:rPr>
        <w:footnoteRef/>
      </w:r>
      <w:r w:rsidRPr="00462C4A">
        <w:rPr>
          <w:rFonts w:ascii="Times New Roman" w:hAnsi="Times New Roman"/>
        </w:rPr>
        <w:t>Esta proibição da concessão de uma sublicença está prevista no art. 5ª, nº 4 da CUP. A proibição expressa de sublicenças é, v.g., estabelecido no direito brasileiro (Cf. art. 72º da lei de patentes</w:t>
      </w:r>
      <w:r w:rsidRPr="00DA79A8">
        <w:rPr>
          <w:rFonts w:ascii="Times New Roman" w:hAnsi="Times New Roman"/>
        </w:rPr>
        <w:t xml:space="preserve"> brasileira).</w:t>
      </w:r>
    </w:p>
  </w:footnote>
  <w:footnote w:id="22">
    <w:p w:rsidR="00374B8E" w:rsidRPr="00DA79A8" w:rsidRDefault="00374B8E" w:rsidP="00374B8E">
      <w:pPr>
        <w:pStyle w:val="Textodenotaderodap"/>
        <w:jc w:val="both"/>
        <w:rPr>
          <w:rFonts w:ascii="Times New Roman" w:hAnsi="Times New Roman"/>
        </w:rPr>
      </w:pPr>
      <w:r w:rsidRPr="00DA79A8">
        <w:rPr>
          <w:rStyle w:val="Refdenotaderodap"/>
          <w:rFonts w:ascii="Times New Roman" w:hAnsi="Times New Roman"/>
        </w:rPr>
        <w:footnoteRef/>
      </w:r>
      <w:r w:rsidRPr="00DA79A8">
        <w:rPr>
          <w:rFonts w:ascii="Times New Roman" w:hAnsi="Times New Roman"/>
        </w:rPr>
        <w:t xml:space="preserve"> A explicação para a não admissão de sublicenças poderá estar no fato de, como se exige que o licenciado dê garantias que consegue explorar a licença, no caso do sublicenciado seria difícil conhecer se o sublicenciado oferece garantias ou não de exploração. Cf. </w:t>
      </w:r>
      <w:r w:rsidRPr="00DA79A8">
        <w:rPr>
          <w:rFonts w:ascii="Times New Roman" w:hAnsi="Times New Roman"/>
          <w:lang w:eastAsia="pt-PT"/>
        </w:rPr>
        <w:t xml:space="preserve">CORREA, Carlos / BERGEL, Salvador D., </w:t>
      </w:r>
      <w:r w:rsidRPr="00DA79A8">
        <w:rPr>
          <w:rFonts w:ascii="Times New Roman" w:hAnsi="Times New Roman"/>
          <w:i/>
          <w:lang w:eastAsia="pt-PT"/>
        </w:rPr>
        <w:t>Patentes  y Competencia</w:t>
      </w:r>
      <w:r w:rsidRPr="00DA79A8">
        <w:rPr>
          <w:rFonts w:ascii="Times New Roman" w:hAnsi="Times New Roman"/>
          <w:lang w:eastAsia="pt-PT"/>
        </w:rPr>
        <w:t>, 2008, p. 45.</w:t>
      </w:r>
    </w:p>
    <w:p w:rsidR="00374B8E" w:rsidRPr="00DA79A8" w:rsidRDefault="00374B8E" w:rsidP="00374B8E">
      <w:pPr>
        <w:pStyle w:val="Textodenotaderodap"/>
        <w:jc w:val="both"/>
        <w:rPr>
          <w:rFonts w:ascii="Times New Roman" w:hAnsi="Times New Roman"/>
          <w:color w:val="000000"/>
          <w:lang w:eastAsia="pt-PT"/>
        </w:rPr>
      </w:pPr>
    </w:p>
  </w:footnote>
  <w:footnote w:id="23">
    <w:p w:rsidR="00374B8E" w:rsidRPr="0031708F" w:rsidRDefault="00374B8E" w:rsidP="00374B8E">
      <w:pPr>
        <w:pStyle w:val="Textodenotaderodap"/>
        <w:jc w:val="both"/>
        <w:rPr>
          <w:rFonts w:ascii="Times New Roman" w:hAnsi="Times New Roman"/>
          <w:lang w:val="en-US" w:eastAsia="pt-PT"/>
        </w:rPr>
      </w:pPr>
      <w:r w:rsidRPr="00DA79A8">
        <w:rPr>
          <w:rStyle w:val="Refdenotaderodap"/>
          <w:rFonts w:ascii="Times New Roman" w:hAnsi="Times New Roman"/>
        </w:rPr>
        <w:footnoteRef/>
      </w:r>
      <w:r w:rsidRPr="00DA79A8">
        <w:rPr>
          <w:rFonts w:ascii="Times New Roman" w:hAnsi="Times New Roman"/>
        </w:rPr>
        <w:t xml:space="preserve"> O termo </w:t>
      </w:r>
      <w:r w:rsidRPr="00DA79A8">
        <w:rPr>
          <w:rFonts w:ascii="Times New Roman" w:hAnsi="Times New Roman"/>
          <w:i/>
        </w:rPr>
        <w:t>predominantemente</w:t>
      </w:r>
      <w:r w:rsidRPr="00DA79A8">
        <w:rPr>
          <w:rFonts w:ascii="Times New Roman" w:hAnsi="Times New Roman"/>
        </w:rPr>
        <w:t xml:space="preserve"> tem sido interpretado como referindo que a maior parte (mais de 50%) da produção advinda da licença compulsória deve ser destinada ao mercado interno do país que concedeu essa mesma licença. </w:t>
      </w:r>
      <w:proofErr w:type="spellStart"/>
      <w:r w:rsidRPr="00DA79A8">
        <w:rPr>
          <w:rFonts w:ascii="Times New Roman" w:hAnsi="Times New Roman"/>
          <w:lang w:val="en-US"/>
        </w:rPr>
        <w:t>Cfr</w:t>
      </w:r>
      <w:proofErr w:type="spellEnd"/>
      <w:r w:rsidRPr="00DA79A8">
        <w:rPr>
          <w:rFonts w:ascii="Times New Roman" w:hAnsi="Times New Roman"/>
          <w:lang w:val="en-US"/>
        </w:rPr>
        <w:t xml:space="preserve">. </w:t>
      </w:r>
      <w:r w:rsidRPr="00DA79A8">
        <w:rPr>
          <w:rFonts w:ascii="Times New Roman" w:hAnsi="Times New Roman"/>
          <w:lang w:val="en-US" w:eastAsia="pt-PT"/>
        </w:rPr>
        <w:t xml:space="preserve">ABBOTT, Frederick (2002). </w:t>
      </w:r>
      <w:r w:rsidRPr="00DA79A8">
        <w:rPr>
          <w:rFonts w:ascii="Times New Roman" w:hAnsi="Times New Roman"/>
          <w:i/>
          <w:lang w:val="en-US" w:eastAsia="pt-PT"/>
        </w:rPr>
        <w:t>WTO Trips Agreement and Its Implications for Access to Medicines in Developing Countries</w:t>
      </w:r>
      <w:r w:rsidRPr="00DA79A8">
        <w:rPr>
          <w:rFonts w:ascii="Times New Roman" w:hAnsi="Times New Roman"/>
          <w:lang w:val="en-US" w:eastAsia="pt-PT"/>
        </w:rPr>
        <w:t xml:space="preserve">; </w:t>
      </w:r>
      <w:r w:rsidRPr="00DA79A8">
        <w:rPr>
          <w:rFonts w:ascii="Times New Roman" w:hAnsi="Times New Roman"/>
          <w:lang w:val="en-GB" w:eastAsia="pt-PT"/>
        </w:rPr>
        <w:t>GERVAIS, Daniel (2003).</w:t>
      </w:r>
      <w:r w:rsidRPr="0031708F">
        <w:rPr>
          <w:rFonts w:ascii="Times New Roman" w:hAnsi="Times New Roman"/>
          <w:i/>
          <w:lang w:val="en-US" w:eastAsia="pt-PT"/>
        </w:rPr>
        <w:t>The TRIPS Agreement: Drafting History and Analysis</w:t>
      </w:r>
      <w:r w:rsidRPr="0031708F">
        <w:rPr>
          <w:rFonts w:ascii="Times New Roman" w:hAnsi="Times New Roman"/>
          <w:lang w:val="en-US" w:eastAsia="pt-PT"/>
        </w:rPr>
        <w:t xml:space="preserve">. </w:t>
      </w:r>
    </w:p>
  </w:footnote>
  <w:footnote w:id="24">
    <w:p w:rsidR="00374B8E" w:rsidRPr="00DA79A8" w:rsidRDefault="00374B8E" w:rsidP="00374B8E">
      <w:pPr>
        <w:pStyle w:val="Textodenotaderodap"/>
        <w:jc w:val="both"/>
        <w:rPr>
          <w:rFonts w:ascii="Times New Roman" w:hAnsi="Times New Roman"/>
          <w:lang w:val="pt-BR"/>
        </w:rPr>
      </w:pPr>
      <w:r w:rsidRPr="00DA79A8">
        <w:rPr>
          <w:rStyle w:val="Refdenotaderodap"/>
          <w:rFonts w:ascii="Times New Roman" w:hAnsi="Times New Roman"/>
        </w:rPr>
        <w:footnoteRef/>
      </w:r>
      <w:r w:rsidRPr="00DA79A8">
        <w:rPr>
          <w:rFonts w:ascii="Times New Roman" w:hAnsi="Times New Roman"/>
        </w:rPr>
        <w:t xml:space="preserve"> Há doutrina que inclui como requesito para a atribuição da remuneração o facto de esta ter de ser </w:t>
      </w:r>
      <w:r w:rsidRPr="00DA79A8">
        <w:rPr>
          <w:rFonts w:ascii="Times New Roman" w:hAnsi="Times New Roman"/>
          <w:i/>
        </w:rPr>
        <w:t>adequada</w:t>
      </w:r>
      <w:r w:rsidRPr="00DA79A8">
        <w:rPr>
          <w:rFonts w:ascii="Times New Roman" w:hAnsi="Times New Roman"/>
        </w:rPr>
        <w:t>(cfr. TAUBMAN, Antony (2008) «Rethinking Trips: ´Adequate Remuneration´ for Non-Voluntary Patent Licensing». Com todo o respeito, mas não estamos de acordo. O termo adequado aqui significa a remuneração que deve ser concedida, apropriada, não tendo autonomização dogmática. Assim, a remuneração será adequada se tiver em conta os dois critérios apontados, que, esses sim, devem ser aprofundados dogmáticamente.</w:t>
      </w:r>
    </w:p>
  </w:footnote>
  <w:footnote w:id="25">
    <w:p w:rsidR="00374B8E" w:rsidRPr="00DA79A8" w:rsidRDefault="00374B8E" w:rsidP="00374B8E">
      <w:pPr>
        <w:pStyle w:val="Textodenotaderodap"/>
        <w:jc w:val="both"/>
        <w:rPr>
          <w:rFonts w:ascii="Times New Roman" w:hAnsi="Times New Roman"/>
          <w:lang w:val="pt-BR"/>
        </w:rPr>
      </w:pPr>
      <w:r w:rsidRPr="00DA79A8">
        <w:rPr>
          <w:rStyle w:val="Refdenotaderodap"/>
          <w:rFonts w:ascii="Times New Roman" w:hAnsi="Times New Roman"/>
        </w:rPr>
        <w:footnoteRef/>
      </w:r>
      <w:r w:rsidRPr="00DA79A8">
        <w:rPr>
          <w:rFonts w:ascii="Times New Roman" w:hAnsi="Times New Roman"/>
        </w:rPr>
        <w:t xml:space="preserve"> Correspondente ao art. 31º, j) do Acordo </w:t>
      </w:r>
      <w:r w:rsidRPr="00DA79A8">
        <w:rPr>
          <w:rFonts w:ascii="Times New Roman" w:hAnsi="Times New Roman"/>
          <w:i/>
        </w:rPr>
        <w:t>Trips</w:t>
      </w:r>
      <w:r w:rsidRPr="00DA79A8">
        <w:rPr>
          <w:rFonts w:ascii="Times New Roman" w:hAnsi="Times New Roman"/>
        </w:rPr>
        <w:t>.</w:t>
      </w:r>
    </w:p>
  </w:footnote>
  <w:footnote w:id="26">
    <w:p w:rsidR="00374B8E" w:rsidRPr="00DA79A8" w:rsidRDefault="00374B8E" w:rsidP="00374B8E">
      <w:pPr>
        <w:pStyle w:val="Textodenotaderodap"/>
        <w:jc w:val="both"/>
        <w:rPr>
          <w:rFonts w:ascii="Times New Roman" w:hAnsi="Times New Roman"/>
          <w:lang w:val="pt-BR"/>
        </w:rPr>
      </w:pPr>
      <w:r w:rsidRPr="00DA79A8">
        <w:rPr>
          <w:rStyle w:val="Refdenotaderodap"/>
          <w:rFonts w:ascii="Times New Roman" w:hAnsi="Times New Roman"/>
        </w:rPr>
        <w:footnoteRef/>
      </w:r>
      <w:r w:rsidRPr="00DA79A8">
        <w:rPr>
          <w:rFonts w:ascii="Times New Roman" w:hAnsi="Times New Roman"/>
        </w:rPr>
        <w:t xml:space="preserve"> Depois de algumas negociações, sendo sempre separadas pela posição de alguns países desenvolvidos e os países em desenvolvimento e menos desenvolvidos, chegou-se ao acordo a 18 de Dezembro de 2005 numa Conferência Ministerial. Este emenda permanente ao Acordo </w:t>
      </w:r>
      <w:r w:rsidRPr="00DA79A8">
        <w:rPr>
          <w:rFonts w:ascii="Times New Roman" w:hAnsi="Times New Roman"/>
          <w:i/>
        </w:rPr>
        <w:t>Trips</w:t>
      </w:r>
      <w:r w:rsidRPr="00DA79A8">
        <w:rPr>
          <w:rFonts w:ascii="Times New Roman" w:hAnsi="Times New Roman"/>
        </w:rPr>
        <w:t xml:space="preserve">, seguiu religiosamente o texto da Decisão de 2003. </w:t>
      </w:r>
    </w:p>
    <w:p w:rsidR="00374B8E" w:rsidRDefault="00374B8E" w:rsidP="00374B8E">
      <w:pPr>
        <w:pStyle w:val="Textodenotaderodap"/>
        <w:jc w:val="both"/>
      </w:pPr>
      <w:r w:rsidRPr="00DA79A8">
        <w:rPr>
          <w:rFonts w:ascii="Times New Roman" w:hAnsi="Times New Roman"/>
        </w:rPr>
        <w:t>Esta emenda ainda não entrou em vigor, pois, necessitando da aprovação de dois terços dos membros para entrar em vigor, foram poucos os países que já aceitaram. Entre os países que aceitaram estão o Brasil e Portugal, este último através da manifestação de aceitação da União Européia. Não nos podemos esquecer que a União Européia, através do seu Regulamento CE) nº 816/2006, do Parlamento Europeu e do Conselho, de 17 de Maio de 2006, já permite a concessão de licenças compulsórias com fins de exportação. Este Regulamento, que se aplica não só às patentes, como também aos certificados complementares de protecção, desde que protejam medicamentos para uso humano, vem assim cumprir a Decisão do Conselh</w:t>
      </w:r>
      <w:r>
        <w:t xml:space="preserve">o </w:t>
      </w:r>
      <w:r>
        <w:rPr>
          <w:i/>
        </w:rPr>
        <w:t>Trips</w:t>
      </w:r>
      <w:r>
        <w:t xml:space="preserve"> de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8E"/>
    <w:rsid w:val="00022019"/>
    <w:rsid w:val="00093FDF"/>
    <w:rsid w:val="001B395E"/>
    <w:rsid w:val="0033159E"/>
    <w:rsid w:val="00374B8E"/>
    <w:rsid w:val="003B3E73"/>
    <w:rsid w:val="00412571"/>
    <w:rsid w:val="00752304"/>
    <w:rsid w:val="009B75C4"/>
    <w:rsid w:val="00A57EC6"/>
    <w:rsid w:val="00AB50F4"/>
    <w:rsid w:val="00C90988"/>
    <w:rsid w:val="00D24952"/>
    <w:rsid w:val="00D97792"/>
    <w:rsid w:val="00E4618E"/>
    <w:rsid w:val="00EF245F"/>
    <w:rsid w:val="00F11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02CA4-EDF6-4CF3-82C3-13B56803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8E"/>
    <w:pPr>
      <w:spacing w:after="0" w:line="240" w:lineRule="auto"/>
    </w:pPr>
    <w:rPr>
      <w:rFonts w:ascii="Black Chancery" w:eastAsia="Times New Roman" w:hAnsi="Black Chancery" w:cs="Times New Roman"/>
      <w:sz w:val="24"/>
      <w:szCs w:val="24"/>
      <w:lang w:eastAsia="pt-BR"/>
    </w:rPr>
  </w:style>
  <w:style w:type="paragraph" w:styleId="Ttulo3">
    <w:name w:val="heading 3"/>
    <w:basedOn w:val="Normal"/>
    <w:next w:val="Normal"/>
    <w:link w:val="Ttulo3Char"/>
    <w:uiPriority w:val="9"/>
    <w:unhideWhenUsed/>
    <w:qFormat/>
    <w:rsid w:val="00374B8E"/>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74B8E"/>
    <w:rPr>
      <w:rFonts w:ascii="Cambria" w:eastAsia="Times New Roman" w:hAnsi="Cambria" w:cs="Times New Roman"/>
      <w:b/>
      <w:bCs/>
      <w:sz w:val="26"/>
      <w:szCs w:val="26"/>
      <w:lang w:eastAsia="pt-BR"/>
    </w:rPr>
  </w:style>
  <w:style w:type="character" w:styleId="Refdenotaderodap">
    <w:name w:val="footnote reference"/>
    <w:rsid w:val="00374B8E"/>
    <w:rPr>
      <w:vertAlign w:val="superscript"/>
    </w:rPr>
  </w:style>
  <w:style w:type="paragraph" w:styleId="Textodenotaderodap">
    <w:name w:val="footnote text"/>
    <w:basedOn w:val="Normal"/>
    <w:link w:val="TextodenotaderodapChar"/>
    <w:qFormat/>
    <w:rsid w:val="00374B8E"/>
    <w:pPr>
      <w:suppressAutoHyphens/>
    </w:pPr>
    <w:rPr>
      <w:rFonts w:ascii="MS Serif" w:hAnsi="MS Serif"/>
      <w:sz w:val="20"/>
      <w:lang w:val="pt-PT" w:eastAsia="ar-SA"/>
    </w:rPr>
  </w:style>
  <w:style w:type="character" w:customStyle="1" w:styleId="TextodenotaderodapChar">
    <w:name w:val="Texto de nota de rodapé Char"/>
    <w:basedOn w:val="Fontepargpadro"/>
    <w:link w:val="Textodenotaderodap"/>
    <w:rsid w:val="00374B8E"/>
    <w:rPr>
      <w:rFonts w:ascii="MS Serif" w:eastAsia="Times New Roman" w:hAnsi="MS Serif" w:cs="Times New Roman"/>
      <w:sz w:val="20"/>
      <w:szCs w:val="24"/>
      <w:lang w:val="pt-PT" w:eastAsia="ar-SA"/>
    </w:rPr>
  </w:style>
  <w:style w:type="character" w:customStyle="1" w:styleId="Caracteresdenotaderodap">
    <w:name w:val="Caracteres de nota de rodapé"/>
    <w:rsid w:val="00374B8E"/>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7419</Words>
  <Characters>40066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2013-08-29T00:45:00Z</dcterms:created>
  <dcterms:modified xsi:type="dcterms:W3CDTF">2013-08-29T01:34:00Z</dcterms:modified>
</cp:coreProperties>
</file>